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2CF" w:rsidRDefault="00D842CF" w:rsidP="00D842CF">
      <w:pPr>
        <w:pStyle w:val="Header"/>
        <w:tabs>
          <w:tab w:val="clear" w:pos="4320"/>
          <w:tab w:val="clear" w:pos="8640"/>
        </w:tabs>
        <w:jc w:val="center"/>
        <w:rPr>
          <w:b/>
        </w:rPr>
      </w:pPr>
    </w:p>
    <w:p w:rsidR="00D842CF" w:rsidRDefault="00D842CF" w:rsidP="00D842CF">
      <w:pPr>
        <w:pStyle w:val="Header"/>
        <w:tabs>
          <w:tab w:val="clear" w:pos="4320"/>
          <w:tab w:val="clear" w:pos="8640"/>
        </w:tabs>
        <w:jc w:val="center"/>
        <w:rPr>
          <w:b/>
        </w:rPr>
      </w:pPr>
      <w:r>
        <w:rPr>
          <w:b/>
        </w:rPr>
        <w:t>ARC 3</w:t>
      </w:r>
      <w:r w:rsidR="002E0065">
        <w:rPr>
          <w:b/>
        </w:rPr>
        <w:t>50W</w:t>
      </w:r>
      <w:r>
        <w:rPr>
          <w:b/>
        </w:rPr>
        <w:t xml:space="preserve"> ARCHITECTUR</w:t>
      </w:r>
      <w:r w:rsidR="002E0065">
        <w:rPr>
          <w:b/>
        </w:rPr>
        <w:t>AL THEORY AND DESIGN FACTORS</w:t>
      </w:r>
    </w:p>
    <w:p w:rsidR="00D842CF" w:rsidRDefault="00D842CF" w:rsidP="00D842CF">
      <w:pPr>
        <w:pStyle w:val="Header"/>
        <w:tabs>
          <w:tab w:val="clear" w:pos="4320"/>
          <w:tab w:val="clear" w:pos="8640"/>
        </w:tabs>
        <w:jc w:val="center"/>
        <w:rPr>
          <w:b/>
        </w:rPr>
      </w:pPr>
      <w:r>
        <w:rPr>
          <w:b/>
        </w:rPr>
        <w:t>COURSE SYLLABUS</w:t>
      </w:r>
    </w:p>
    <w:p w:rsidR="00D842CF" w:rsidRDefault="00D842CF" w:rsidP="00D842CF">
      <w:pPr>
        <w:pStyle w:val="Header"/>
        <w:tabs>
          <w:tab w:val="clear" w:pos="4320"/>
          <w:tab w:val="clear" w:pos="8640"/>
        </w:tabs>
        <w:jc w:val="center"/>
        <w:rPr>
          <w:b/>
        </w:rPr>
      </w:pPr>
    </w:p>
    <w:p w:rsidR="00D842CF" w:rsidRPr="009669A6" w:rsidRDefault="00D842CF" w:rsidP="00D842CF">
      <w:pPr>
        <w:pStyle w:val="Header"/>
        <w:tabs>
          <w:tab w:val="clear" w:pos="4320"/>
          <w:tab w:val="clear" w:pos="8640"/>
        </w:tabs>
        <w:rPr>
          <w:b/>
          <w:sz w:val="20"/>
        </w:rPr>
      </w:pPr>
    </w:p>
    <w:p w:rsidR="00D842CF" w:rsidRPr="009669A6" w:rsidRDefault="00D842CF" w:rsidP="00D842CF">
      <w:pPr>
        <w:pStyle w:val="Header"/>
        <w:tabs>
          <w:tab w:val="left" w:pos="2160"/>
        </w:tabs>
        <w:ind w:left="2160" w:hanging="2160"/>
        <w:rPr>
          <w:sz w:val="20"/>
        </w:rPr>
      </w:pPr>
      <w:r w:rsidRPr="009669A6">
        <w:rPr>
          <w:b/>
          <w:sz w:val="20"/>
        </w:rPr>
        <w:t>Instructor:</w:t>
      </w:r>
      <w:r w:rsidRPr="009669A6">
        <w:rPr>
          <w:sz w:val="20"/>
        </w:rPr>
        <w:t xml:space="preserve"> </w:t>
      </w:r>
      <w:r w:rsidRPr="009669A6">
        <w:rPr>
          <w:sz w:val="20"/>
        </w:rPr>
        <w:tab/>
        <w:t xml:space="preserve">Joseph A. Betz, </w:t>
      </w:r>
      <w:r w:rsidR="009C2F4B">
        <w:rPr>
          <w:sz w:val="20"/>
        </w:rPr>
        <w:t>Architect</w:t>
      </w:r>
      <w:r w:rsidRPr="009669A6">
        <w:rPr>
          <w:sz w:val="20"/>
        </w:rPr>
        <w:t xml:space="preserve">, Professor of Architecture </w:t>
      </w:r>
      <w:r w:rsidR="009C2F4B">
        <w:rPr>
          <w:sz w:val="20"/>
        </w:rPr>
        <w:t>&amp; C</w:t>
      </w:r>
      <w:r w:rsidR="00D04951">
        <w:rPr>
          <w:sz w:val="20"/>
        </w:rPr>
        <w:t xml:space="preserve">onstruction </w:t>
      </w:r>
      <w:r w:rsidR="009C2F4B">
        <w:rPr>
          <w:sz w:val="20"/>
        </w:rPr>
        <w:t>M</w:t>
      </w:r>
      <w:r w:rsidR="00D04951">
        <w:rPr>
          <w:sz w:val="20"/>
        </w:rPr>
        <w:t>anagement</w:t>
      </w:r>
    </w:p>
    <w:p w:rsidR="00D842CF" w:rsidRPr="009669A6" w:rsidRDefault="00D842CF" w:rsidP="00D842CF">
      <w:pPr>
        <w:pStyle w:val="Header"/>
        <w:tabs>
          <w:tab w:val="left" w:pos="2160"/>
        </w:tabs>
        <w:ind w:left="2160" w:hanging="2160"/>
        <w:rPr>
          <w:sz w:val="20"/>
        </w:rPr>
      </w:pPr>
      <w:r w:rsidRPr="009669A6">
        <w:rPr>
          <w:b/>
          <w:sz w:val="20"/>
        </w:rPr>
        <w:t>Office Address:</w:t>
      </w:r>
      <w:r w:rsidRPr="009669A6">
        <w:rPr>
          <w:sz w:val="20"/>
        </w:rPr>
        <w:t xml:space="preserve"> </w:t>
      </w:r>
      <w:r w:rsidRPr="009669A6">
        <w:rPr>
          <w:sz w:val="20"/>
        </w:rPr>
        <w:tab/>
      </w:r>
      <w:r w:rsidR="009C2F4B">
        <w:rPr>
          <w:sz w:val="20"/>
        </w:rPr>
        <w:t xml:space="preserve">137B </w:t>
      </w:r>
      <w:r w:rsidRPr="009669A6">
        <w:rPr>
          <w:sz w:val="20"/>
        </w:rPr>
        <w:t xml:space="preserve">Lupton Hall, Farmingdale State College, SUNY, Farmingdale, NY 11735 </w:t>
      </w:r>
    </w:p>
    <w:p w:rsidR="00D842CF" w:rsidRPr="009669A6" w:rsidRDefault="00D842CF" w:rsidP="00D842CF">
      <w:pPr>
        <w:pStyle w:val="Header"/>
        <w:tabs>
          <w:tab w:val="left" w:pos="2160"/>
        </w:tabs>
        <w:ind w:left="2160" w:hanging="2160"/>
        <w:rPr>
          <w:sz w:val="20"/>
        </w:rPr>
      </w:pPr>
      <w:r w:rsidRPr="009669A6">
        <w:rPr>
          <w:b/>
          <w:sz w:val="20"/>
        </w:rPr>
        <w:t>Phone No.:</w:t>
      </w:r>
      <w:r w:rsidRPr="009669A6">
        <w:rPr>
          <w:sz w:val="20"/>
        </w:rPr>
        <w:t xml:space="preserve"> </w:t>
      </w:r>
      <w:r w:rsidRPr="009669A6">
        <w:rPr>
          <w:sz w:val="20"/>
        </w:rPr>
        <w:tab/>
        <w:t xml:space="preserve">College Office: (631) 420-2098, fax. 420-2194 </w:t>
      </w:r>
    </w:p>
    <w:p w:rsidR="00D842CF" w:rsidRPr="009669A6" w:rsidRDefault="00D842CF" w:rsidP="00D842CF">
      <w:pPr>
        <w:pStyle w:val="Header"/>
        <w:tabs>
          <w:tab w:val="left" w:pos="2160"/>
        </w:tabs>
        <w:ind w:left="2160" w:hanging="2160"/>
        <w:rPr>
          <w:sz w:val="20"/>
        </w:rPr>
      </w:pPr>
      <w:r w:rsidRPr="009669A6">
        <w:rPr>
          <w:b/>
          <w:sz w:val="20"/>
        </w:rPr>
        <w:t>E-Mail:</w:t>
      </w:r>
      <w:r w:rsidRPr="009669A6">
        <w:rPr>
          <w:sz w:val="20"/>
        </w:rPr>
        <w:t xml:space="preserve"> </w:t>
      </w:r>
      <w:r w:rsidRPr="009669A6">
        <w:rPr>
          <w:sz w:val="20"/>
        </w:rPr>
        <w:tab/>
        <w:t xml:space="preserve">joseph.betz@farmingdale.edu </w:t>
      </w:r>
    </w:p>
    <w:p w:rsidR="00D842CF" w:rsidRPr="009669A6" w:rsidRDefault="00D842CF" w:rsidP="00D842CF">
      <w:pPr>
        <w:pStyle w:val="Header"/>
        <w:tabs>
          <w:tab w:val="clear" w:pos="4320"/>
          <w:tab w:val="clear" w:pos="8640"/>
          <w:tab w:val="left" w:pos="2160"/>
        </w:tabs>
        <w:ind w:left="2160" w:hanging="2160"/>
        <w:rPr>
          <w:sz w:val="20"/>
        </w:rPr>
      </w:pPr>
      <w:r w:rsidRPr="009669A6">
        <w:rPr>
          <w:b/>
          <w:sz w:val="20"/>
        </w:rPr>
        <w:t>Web Site:</w:t>
      </w:r>
      <w:r w:rsidRPr="009669A6">
        <w:rPr>
          <w:sz w:val="20"/>
        </w:rPr>
        <w:t xml:space="preserve"> </w:t>
      </w:r>
      <w:r w:rsidRPr="009669A6">
        <w:rPr>
          <w:sz w:val="20"/>
        </w:rPr>
        <w:tab/>
        <w:t>www.farmingdale.edu/faculty/joseph-betz</w:t>
      </w:r>
      <w:r w:rsidRPr="009669A6">
        <w:rPr>
          <w:sz w:val="20"/>
        </w:rPr>
        <w:tab/>
      </w:r>
    </w:p>
    <w:p w:rsidR="00D842CF" w:rsidRPr="009669A6" w:rsidRDefault="00D842CF" w:rsidP="00D842CF">
      <w:pPr>
        <w:pStyle w:val="Header"/>
        <w:tabs>
          <w:tab w:val="clear" w:pos="4320"/>
          <w:tab w:val="clear" w:pos="8640"/>
        </w:tabs>
        <w:rPr>
          <w:sz w:val="20"/>
        </w:rPr>
      </w:pPr>
    </w:p>
    <w:p w:rsidR="00D842CF" w:rsidRPr="009669A6" w:rsidRDefault="00D842CF" w:rsidP="009669A6">
      <w:pPr>
        <w:pStyle w:val="NoSpacing"/>
        <w:rPr>
          <w:sz w:val="20"/>
        </w:rPr>
      </w:pPr>
    </w:p>
    <w:p w:rsidR="009669A6" w:rsidRPr="009669A6" w:rsidRDefault="00D842CF" w:rsidP="009669A6">
      <w:pPr>
        <w:pStyle w:val="NoSpacing"/>
        <w:rPr>
          <w:b/>
          <w:sz w:val="20"/>
        </w:rPr>
      </w:pPr>
      <w:r w:rsidRPr="009669A6">
        <w:rPr>
          <w:b/>
          <w:sz w:val="20"/>
        </w:rPr>
        <w:t>Course Description:</w:t>
      </w:r>
      <w:r w:rsidRPr="009669A6">
        <w:rPr>
          <w:b/>
          <w:sz w:val="20"/>
        </w:rPr>
        <w:tab/>
      </w:r>
    </w:p>
    <w:p w:rsidR="00D842CF" w:rsidRPr="008A41D9" w:rsidRDefault="008A41D9" w:rsidP="009669A6">
      <w:pPr>
        <w:pStyle w:val="NoSpacing"/>
        <w:rPr>
          <w:sz w:val="20"/>
        </w:rPr>
      </w:pPr>
      <w:r w:rsidRPr="008A41D9">
        <w:rPr>
          <w:sz w:val="20"/>
        </w:rPr>
        <w:t>ARC 350</w:t>
      </w:r>
      <w:r>
        <w:rPr>
          <w:sz w:val="20"/>
        </w:rPr>
        <w:t>W</w:t>
      </w:r>
      <w:r w:rsidRPr="008A41D9">
        <w:rPr>
          <w:sz w:val="20"/>
        </w:rPr>
        <w:t xml:space="preserve"> Architectural Theory and Design Factors. (3 credits).  This course will examine a series of architectural theories and design factors that attempts to explain, predict or influence design decisions that result in the built environment.  Topics include:  historical theory; form and aesthetics; architectural technology; the urban, natural and human environment; economic, zoning and code factors; the social and behavioral implications of architecture, the design process itself and the architectural profession</w:t>
      </w:r>
      <w:r w:rsidR="00D842CF" w:rsidRPr="008A41D9">
        <w:rPr>
          <w:sz w:val="20"/>
        </w:rPr>
        <w:t>.</w:t>
      </w:r>
      <w:r w:rsidR="00D842CF" w:rsidRPr="008A41D9">
        <w:rPr>
          <w:sz w:val="20"/>
        </w:rPr>
        <w:tab/>
      </w:r>
      <w:r w:rsidR="00D842CF" w:rsidRPr="008A41D9">
        <w:rPr>
          <w:sz w:val="20"/>
        </w:rPr>
        <w:tab/>
      </w:r>
      <w:r w:rsidR="00D842CF" w:rsidRPr="008A41D9">
        <w:rPr>
          <w:sz w:val="20"/>
        </w:rPr>
        <w:tab/>
      </w:r>
      <w:r w:rsidR="00D842CF" w:rsidRPr="008A41D9">
        <w:rPr>
          <w:sz w:val="20"/>
        </w:rPr>
        <w:tab/>
        <w:t xml:space="preserve"> </w:t>
      </w:r>
    </w:p>
    <w:p w:rsidR="00D842CF" w:rsidRPr="009669A6" w:rsidRDefault="00D842CF" w:rsidP="009669A6">
      <w:pPr>
        <w:pStyle w:val="NoSpacing"/>
        <w:rPr>
          <w:sz w:val="20"/>
        </w:rPr>
      </w:pPr>
    </w:p>
    <w:p w:rsidR="00D67B85" w:rsidRDefault="00D842CF" w:rsidP="009669A6">
      <w:pPr>
        <w:pStyle w:val="NoSpacing"/>
        <w:rPr>
          <w:b/>
          <w:sz w:val="20"/>
        </w:rPr>
      </w:pPr>
      <w:r w:rsidRPr="00D67B85">
        <w:rPr>
          <w:b/>
          <w:sz w:val="20"/>
        </w:rPr>
        <w:t>Textbook:</w:t>
      </w:r>
      <w:r w:rsidR="009669A6" w:rsidRPr="00D67B85">
        <w:rPr>
          <w:b/>
          <w:sz w:val="20"/>
        </w:rPr>
        <w:t xml:space="preserve"> </w:t>
      </w:r>
      <w:r w:rsidR="00D67B85" w:rsidRPr="00D67B85">
        <w:rPr>
          <w:sz w:val="20"/>
        </w:rPr>
        <w:t xml:space="preserve">Stein, Jay M., Kent F. </w:t>
      </w:r>
      <w:proofErr w:type="spellStart"/>
      <w:r w:rsidR="00D67B85" w:rsidRPr="00D67B85">
        <w:rPr>
          <w:sz w:val="20"/>
        </w:rPr>
        <w:t>Spreckelmeyer</w:t>
      </w:r>
      <w:proofErr w:type="spellEnd"/>
      <w:r w:rsidR="00D67B85" w:rsidRPr="00D67B85">
        <w:rPr>
          <w:sz w:val="20"/>
        </w:rPr>
        <w:t xml:space="preserve">, </w:t>
      </w:r>
      <w:r w:rsidR="00D67B85" w:rsidRPr="00D67B85">
        <w:rPr>
          <w:sz w:val="20"/>
          <w:u w:val="single"/>
        </w:rPr>
        <w:t>Classic Readings in Architecture</w:t>
      </w:r>
      <w:r w:rsidR="00D67B85" w:rsidRPr="00D67B85">
        <w:rPr>
          <w:sz w:val="20"/>
        </w:rPr>
        <w:t>, WBC/McGraw-Hill, Inc., New York</w:t>
      </w:r>
      <w:r w:rsidR="00D67B85" w:rsidRPr="00D67B85">
        <w:rPr>
          <w:b/>
          <w:sz w:val="20"/>
        </w:rPr>
        <w:t xml:space="preserve"> </w:t>
      </w:r>
    </w:p>
    <w:p w:rsidR="00D842CF" w:rsidRPr="00D67B85" w:rsidRDefault="00D842CF" w:rsidP="009669A6">
      <w:pPr>
        <w:pStyle w:val="NoSpacing"/>
        <w:rPr>
          <w:sz w:val="20"/>
        </w:rPr>
      </w:pPr>
      <w:r w:rsidRPr="00D67B85">
        <w:rPr>
          <w:b/>
          <w:sz w:val="20"/>
        </w:rPr>
        <w:t>Reference:</w:t>
      </w:r>
      <w:r w:rsidR="009669A6" w:rsidRPr="00D67B85">
        <w:rPr>
          <w:b/>
          <w:sz w:val="20"/>
        </w:rPr>
        <w:t xml:space="preserve"> </w:t>
      </w:r>
      <w:r w:rsidR="00D67B85" w:rsidRPr="00D67B85">
        <w:rPr>
          <w:sz w:val="20"/>
        </w:rPr>
        <w:t>Instructor handouts / material</w:t>
      </w:r>
    </w:p>
    <w:p w:rsidR="00D842CF" w:rsidRPr="009669A6" w:rsidRDefault="00D842CF" w:rsidP="009669A6">
      <w:pPr>
        <w:pStyle w:val="NoSpacing"/>
        <w:rPr>
          <w:sz w:val="20"/>
        </w:rPr>
      </w:pPr>
    </w:p>
    <w:p w:rsidR="009669A6" w:rsidRPr="009669A6" w:rsidRDefault="00D842CF" w:rsidP="00D842CF">
      <w:pPr>
        <w:pStyle w:val="Header"/>
        <w:tabs>
          <w:tab w:val="clear" w:pos="4320"/>
        </w:tabs>
        <w:rPr>
          <w:b/>
          <w:sz w:val="20"/>
        </w:rPr>
      </w:pPr>
      <w:r w:rsidRPr="009669A6">
        <w:rPr>
          <w:b/>
          <w:sz w:val="20"/>
        </w:rPr>
        <w:t>Grading:</w:t>
      </w:r>
    </w:p>
    <w:p w:rsidR="00D842CF" w:rsidRPr="002E0065" w:rsidRDefault="00D842CF" w:rsidP="00D67B85">
      <w:pPr>
        <w:pStyle w:val="NoSpacing"/>
        <w:rPr>
          <w:sz w:val="20"/>
        </w:rPr>
      </w:pPr>
      <w:r w:rsidRPr="002E0065">
        <w:rPr>
          <w:sz w:val="20"/>
        </w:rPr>
        <w:t xml:space="preserve">The final grade will be based on the following  </w:t>
      </w:r>
    </w:p>
    <w:p w:rsidR="002E0065" w:rsidRPr="002E0065" w:rsidRDefault="002E0065" w:rsidP="002E0065">
      <w:pPr>
        <w:pStyle w:val="NoSpacing"/>
        <w:numPr>
          <w:ilvl w:val="0"/>
          <w:numId w:val="9"/>
        </w:numPr>
        <w:rPr>
          <w:color w:val="333333"/>
          <w:sz w:val="20"/>
          <w:lang w:val="en"/>
        </w:rPr>
      </w:pPr>
      <w:r w:rsidRPr="002E0065">
        <w:rPr>
          <w:color w:val="333333"/>
          <w:sz w:val="20"/>
          <w:lang w:val="en"/>
        </w:rPr>
        <w:t>Class participation and peer review = 15%</w:t>
      </w:r>
    </w:p>
    <w:p w:rsidR="002E0065" w:rsidRPr="002E0065" w:rsidRDefault="002E0065" w:rsidP="002E0065">
      <w:pPr>
        <w:pStyle w:val="NoSpacing"/>
        <w:numPr>
          <w:ilvl w:val="0"/>
          <w:numId w:val="9"/>
        </w:numPr>
        <w:rPr>
          <w:color w:val="333333"/>
          <w:sz w:val="20"/>
          <w:lang w:val="en"/>
        </w:rPr>
      </w:pPr>
      <w:r w:rsidRPr="002E0065">
        <w:rPr>
          <w:color w:val="333333"/>
          <w:sz w:val="20"/>
          <w:lang w:val="en"/>
        </w:rPr>
        <w:t>Journals (each week) = 05% (optional)</w:t>
      </w:r>
    </w:p>
    <w:p w:rsidR="002E0065" w:rsidRPr="002E0065" w:rsidRDefault="002E0065" w:rsidP="002E0065">
      <w:pPr>
        <w:pStyle w:val="NoSpacing"/>
        <w:numPr>
          <w:ilvl w:val="0"/>
          <w:numId w:val="9"/>
        </w:numPr>
        <w:rPr>
          <w:color w:val="333333"/>
          <w:sz w:val="20"/>
          <w:lang w:val="en"/>
        </w:rPr>
      </w:pPr>
      <w:r w:rsidRPr="002E0065">
        <w:rPr>
          <w:color w:val="333333"/>
          <w:sz w:val="20"/>
          <w:lang w:val="en"/>
        </w:rPr>
        <w:t xml:space="preserve">Four (4) </w:t>
      </w:r>
      <w:proofErr w:type="gramStart"/>
      <w:r w:rsidRPr="002E0065">
        <w:rPr>
          <w:color w:val="333333"/>
          <w:sz w:val="20"/>
          <w:lang w:val="en"/>
        </w:rPr>
        <w:t>250-400 word</w:t>
      </w:r>
      <w:proofErr w:type="gramEnd"/>
      <w:r w:rsidRPr="002E0065">
        <w:rPr>
          <w:color w:val="333333"/>
          <w:sz w:val="20"/>
          <w:lang w:val="en"/>
        </w:rPr>
        <w:t xml:space="preserve"> short essays = 30% (All essays will be peer reviewed)</w:t>
      </w:r>
    </w:p>
    <w:p w:rsidR="002E0065" w:rsidRPr="002E0065" w:rsidRDefault="002E0065" w:rsidP="002E0065">
      <w:pPr>
        <w:pStyle w:val="NoSpacing"/>
        <w:numPr>
          <w:ilvl w:val="0"/>
          <w:numId w:val="9"/>
        </w:numPr>
        <w:rPr>
          <w:color w:val="333333"/>
          <w:sz w:val="20"/>
          <w:lang w:val="en"/>
        </w:rPr>
      </w:pPr>
      <w:r w:rsidRPr="002E0065">
        <w:rPr>
          <w:color w:val="333333"/>
          <w:sz w:val="20"/>
          <w:lang w:val="en"/>
        </w:rPr>
        <w:t xml:space="preserve">One (1) </w:t>
      </w:r>
      <w:proofErr w:type="gramStart"/>
      <w:r w:rsidRPr="002E0065">
        <w:rPr>
          <w:color w:val="333333"/>
          <w:sz w:val="20"/>
          <w:lang w:val="en"/>
        </w:rPr>
        <w:t>3000 word</w:t>
      </w:r>
      <w:proofErr w:type="gramEnd"/>
      <w:r w:rsidRPr="002E0065">
        <w:rPr>
          <w:color w:val="333333"/>
          <w:sz w:val="20"/>
          <w:lang w:val="en"/>
        </w:rPr>
        <w:t xml:space="preserve"> min. final essay = 30% (Final term paper will be peer reviewed)</w:t>
      </w:r>
    </w:p>
    <w:p w:rsidR="002E0065" w:rsidRPr="002E0065" w:rsidRDefault="002E0065" w:rsidP="002E0065">
      <w:pPr>
        <w:pStyle w:val="NoSpacing"/>
        <w:numPr>
          <w:ilvl w:val="0"/>
          <w:numId w:val="9"/>
        </w:numPr>
        <w:rPr>
          <w:color w:val="333333"/>
          <w:sz w:val="20"/>
          <w:lang w:val="en"/>
        </w:rPr>
      </w:pPr>
      <w:r w:rsidRPr="002E0065">
        <w:rPr>
          <w:color w:val="333333"/>
          <w:sz w:val="20"/>
          <w:lang w:val="en"/>
        </w:rPr>
        <w:t>One take-home midterm essay exam = 20% (If needed; given only if the instructor believes the class does not know the theories for the term paper.  This percentage will be equally added to the final</w:t>
      </w:r>
      <w:r w:rsidR="00FD4F7D">
        <w:rPr>
          <w:color w:val="333333"/>
          <w:sz w:val="20"/>
          <w:lang w:val="en"/>
        </w:rPr>
        <w:t xml:space="preserve"> (10%) </w:t>
      </w:r>
      <w:r w:rsidRPr="002E0065">
        <w:rPr>
          <w:color w:val="333333"/>
          <w:sz w:val="20"/>
          <w:lang w:val="en"/>
        </w:rPr>
        <w:t>and</w:t>
      </w:r>
      <w:r w:rsidR="00FD4F7D">
        <w:rPr>
          <w:color w:val="333333"/>
          <w:sz w:val="20"/>
          <w:lang w:val="en"/>
        </w:rPr>
        <w:t xml:space="preserve"> the </w:t>
      </w:r>
      <w:r w:rsidRPr="002E0065">
        <w:rPr>
          <w:color w:val="333333"/>
          <w:sz w:val="20"/>
          <w:lang w:val="en"/>
        </w:rPr>
        <w:t>short essay</w:t>
      </w:r>
      <w:r w:rsidR="00FD4F7D">
        <w:rPr>
          <w:color w:val="333333"/>
          <w:sz w:val="20"/>
          <w:lang w:val="en"/>
        </w:rPr>
        <w:t xml:space="preserve"> (10%)</w:t>
      </w:r>
      <w:r w:rsidRPr="002E0065">
        <w:rPr>
          <w:color w:val="333333"/>
          <w:sz w:val="20"/>
          <w:lang w:val="en"/>
        </w:rPr>
        <w:t xml:space="preserve"> assignments above if not used) </w:t>
      </w:r>
    </w:p>
    <w:p w:rsidR="002E0065" w:rsidRPr="008A41D9" w:rsidRDefault="002E0065" w:rsidP="002E0065">
      <w:pPr>
        <w:pStyle w:val="NoSpacing"/>
        <w:numPr>
          <w:ilvl w:val="0"/>
          <w:numId w:val="9"/>
        </w:numPr>
        <w:rPr>
          <w:i/>
          <w:color w:val="333333"/>
          <w:sz w:val="20"/>
          <w:lang w:val="en"/>
        </w:rPr>
      </w:pPr>
      <w:r w:rsidRPr="002E0065">
        <w:rPr>
          <w:color w:val="333333"/>
          <w:sz w:val="20"/>
          <w:lang w:val="en"/>
        </w:rPr>
        <w:t xml:space="preserve">Note, this is your Writing Intensive Course in the Discipline.  </w:t>
      </w:r>
      <w:r w:rsidRPr="008A41D9">
        <w:rPr>
          <w:b/>
          <w:i/>
          <w:color w:val="333333"/>
          <w:sz w:val="20"/>
          <w:lang w:val="en"/>
        </w:rPr>
        <w:t>You must get a C grade or better to graduate!</w:t>
      </w:r>
      <w:r w:rsidRPr="008A41D9">
        <w:rPr>
          <w:i/>
          <w:color w:val="333333"/>
          <w:sz w:val="20"/>
          <w:lang w:val="en"/>
        </w:rPr>
        <w:t xml:space="preserve"> </w:t>
      </w:r>
    </w:p>
    <w:p w:rsidR="00D842CF" w:rsidRPr="002E0065" w:rsidRDefault="00D842CF" w:rsidP="002E0065">
      <w:pPr>
        <w:pStyle w:val="NoSpacing"/>
        <w:numPr>
          <w:ilvl w:val="0"/>
          <w:numId w:val="9"/>
        </w:numPr>
        <w:rPr>
          <w:color w:val="000000"/>
          <w:sz w:val="20"/>
        </w:rPr>
      </w:pPr>
      <w:r w:rsidRPr="002E0065">
        <w:rPr>
          <w:color w:val="000000"/>
          <w:sz w:val="20"/>
        </w:rPr>
        <w:t>Please see the College Catalog for the current Farmingdale State College Grading System.</w:t>
      </w:r>
    </w:p>
    <w:p w:rsidR="00D842CF" w:rsidRPr="009669A6" w:rsidRDefault="00D842CF" w:rsidP="00D842CF">
      <w:pPr>
        <w:pStyle w:val="Header"/>
        <w:rPr>
          <w:sz w:val="20"/>
        </w:rPr>
      </w:pPr>
    </w:p>
    <w:p w:rsidR="00D67B85" w:rsidRPr="00D67B85" w:rsidRDefault="00D67B85" w:rsidP="00D67B85">
      <w:pPr>
        <w:pStyle w:val="NoSpacing"/>
        <w:rPr>
          <w:b/>
          <w:sz w:val="20"/>
          <w:lang w:val="en"/>
        </w:rPr>
      </w:pPr>
      <w:r w:rsidRPr="00D67B85">
        <w:rPr>
          <w:b/>
          <w:sz w:val="20"/>
          <w:lang w:val="en"/>
        </w:rPr>
        <w:t>Student Journals:</w:t>
      </w:r>
    </w:p>
    <w:p w:rsidR="00D67B85" w:rsidRPr="00D67B85" w:rsidRDefault="00D67B85" w:rsidP="00D67B85">
      <w:pPr>
        <w:pStyle w:val="NoSpacing"/>
        <w:rPr>
          <w:sz w:val="20"/>
          <w:lang w:val="en"/>
        </w:rPr>
      </w:pPr>
      <w:r w:rsidRPr="00D67B85">
        <w:rPr>
          <w:sz w:val="20"/>
          <w:lang w:val="en"/>
        </w:rPr>
        <w:t xml:space="preserve">Students are required to keep a journal. Journals form the basis and starting point of ideas for the essays. They may be informally reviewed with the instructor when developing the essays. </w:t>
      </w:r>
    </w:p>
    <w:p w:rsidR="005D1B6C" w:rsidRDefault="005D1B6C" w:rsidP="00D67B85">
      <w:pPr>
        <w:pStyle w:val="NoSpacing"/>
        <w:rPr>
          <w:sz w:val="20"/>
          <w:lang w:val="en"/>
        </w:rPr>
      </w:pPr>
    </w:p>
    <w:p w:rsidR="00D67B85" w:rsidRPr="005D1B6C" w:rsidRDefault="00D67B85" w:rsidP="00D67B85">
      <w:pPr>
        <w:pStyle w:val="NoSpacing"/>
        <w:rPr>
          <w:b/>
          <w:sz w:val="20"/>
          <w:lang w:val="en"/>
        </w:rPr>
      </w:pPr>
      <w:r w:rsidRPr="005D1B6C">
        <w:rPr>
          <w:b/>
          <w:sz w:val="20"/>
          <w:lang w:val="en"/>
        </w:rPr>
        <w:t xml:space="preserve">Short Essay: </w:t>
      </w:r>
    </w:p>
    <w:p w:rsidR="00D67B85" w:rsidRPr="00D67B85" w:rsidRDefault="00D67B85" w:rsidP="00D67B85">
      <w:pPr>
        <w:pStyle w:val="NoSpacing"/>
        <w:rPr>
          <w:sz w:val="20"/>
          <w:lang w:val="en"/>
        </w:rPr>
      </w:pPr>
      <w:r w:rsidRPr="00D67B85">
        <w:rPr>
          <w:sz w:val="20"/>
          <w:lang w:val="en"/>
        </w:rPr>
        <w:t>The short essay must follow the format listed: </w:t>
      </w:r>
      <w:r w:rsidRPr="00D67B85">
        <w:rPr>
          <w:sz w:val="20"/>
          <w:lang w:val="en"/>
        </w:rPr>
        <w:br/>
        <w:t xml:space="preserve"> -  Comparison of two articles pointing out similarities and specific differences. </w:t>
      </w:r>
    </w:p>
    <w:p w:rsidR="00D67B85" w:rsidRPr="00D67B85" w:rsidRDefault="00D67B85" w:rsidP="00D67B85">
      <w:pPr>
        <w:pStyle w:val="NoSpacing"/>
        <w:rPr>
          <w:sz w:val="20"/>
          <w:lang w:val="en"/>
        </w:rPr>
      </w:pPr>
      <w:r w:rsidRPr="00D67B85">
        <w:rPr>
          <w:sz w:val="20"/>
          <w:lang w:val="en"/>
        </w:rPr>
        <w:t>Each essay should be developed from in-class journal writing.</w:t>
      </w:r>
    </w:p>
    <w:p w:rsidR="00D67B85" w:rsidRPr="00D67B85" w:rsidRDefault="00D67B85" w:rsidP="00D67B85">
      <w:pPr>
        <w:pStyle w:val="NoSpacing"/>
        <w:rPr>
          <w:sz w:val="20"/>
          <w:lang w:val="en"/>
        </w:rPr>
      </w:pPr>
      <w:r w:rsidRPr="00D67B85">
        <w:rPr>
          <w:sz w:val="20"/>
          <w:lang w:val="en"/>
        </w:rPr>
        <w:t xml:space="preserve">Each essay </w:t>
      </w:r>
      <w:r w:rsidR="008A41D9">
        <w:rPr>
          <w:sz w:val="20"/>
          <w:lang w:val="en"/>
        </w:rPr>
        <w:t xml:space="preserve">can </w:t>
      </w:r>
      <w:r w:rsidRPr="00D67B85">
        <w:rPr>
          <w:sz w:val="20"/>
          <w:lang w:val="en"/>
        </w:rPr>
        <w:t xml:space="preserve">include the definition of either two new words or two words used in a new context. The definitions are in addition to the 250 words. </w:t>
      </w:r>
    </w:p>
    <w:p w:rsidR="00D67B85" w:rsidRPr="00D67B85" w:rsidRDefault="00D67B85" w:rsidP="00D67B85">
      <w:pPr>
        <w:pStyle w:val="NoSpacing"/>
        <w:rPr>
          <w:b/>
          <w:sz w:val="20"/>
          <w:lang w:val="en"/>
        </w:rPr>
      </w:pPr>
      <w:r w:rsidRPr="00D67B85">
        <w:rPr>
          <w:sz w:val="20"/>
          <w:lang w:val="en"/>
        </w:rPr>
        <w:br/>
      </w:r>
      <w:r w:rsidRPr="00D67B85">
        <w:rPr>
          <w:b/>
          <w:sz w:val="20"/>
          <w:lang w:val="en"/>
        </w:rPr>
        <w:t xml:space="preserve">Student </w:t>
      </w:r>
      <w:r>
        <w:rPr>
          <w:b/>
          <w:sz w:val="20"/>
          <w:lang w:val="en"/>
        </w:rPr>
        <w:t xml:space="preserve">discussion of </w:t>
      </w:r>
      <w:r w:rsidRPr="00D67B85">
        <w:rPr>
          <w:b/>
          <w:sz w:val="20"/>
          <w:lang w:val="en"/>
        </w:rPr>
        <w:t>topic</w:t>
      </w:r>
      <w:r>
        <w:rPr>
          <w:b/>
          <w:sz w:val="20"/>
          <w:lang w:val="en"/>
        </w:rPr>
        <w:t>s</w:t>
      </w:r>
      <w:r w:rsidRPr="00D67B85">
        <w:rPr>
          <w:b/>
          <w:sz w:val="20"/>
          <w:lang w:val="en"/>
        </w:rPr>
        <w:t xml:space="preserve">: </w:t>
      </w:r>
    </w:p>
    <w:p w:rsidR="00D67B85" w:rsidRPr="00D67B85" w:rsidRDefault="00D67B85" w:rsidP="00D67B85">
      <w:pPr>
        <w:pStyle w:val="NoSpacing"/>
        <w:rPr>
          <w:sz w:val="20"/>
          <w:lang w:val="en"/>
        </w:rPr>
      </w:pPr>
      <w:r w:rsidRPr="00D67B85">
        <w:rPr>
          <w:sz w:val="20"/>
          <w:lang w:val="en"/>
        </w:rPr>
        <w:t>Student</w:t>
      </w:r>
      <w:r>
        <w:rPr>
          <w:sz w:val="20"/>
          <w:lang w:val="en"/>
        </w:rPr>
        <w:t xml:space="preserve">s </w:t>
      </w:r>
      <w:r w:rsidRPr="00D67B85">
        <w:rPr>
          <w:sz w:val="20"/>
          <w:lang w:val="en"/>
        </w:rPr>
        <w:t xml:space="preserve">will </w:t>
      </w:r>
      <w:r>
        <w:rPr>
          <w:sz w:val="20"/>
          <w:lang w:val="en"/>
        </w:rPr>
        <w:t xml:space="preserve">be called on to </w:t>
      </w:r>
      <w:r w:rsidRPr="00D67B85">
        <w:rPr>
          <w:sz w:val="20"/>
          <w:lang w:val="en"/>
        </w:rPr>
        <w:t xml:space="preserve">present </w:t>
      </w:r>
      <w:r>
        <w:rPr>
          <w:sz w:val="20"/>
          <w:lang w:val="en"/>
        </w:rPr>
        <w:t xml:space="preserve">ideas in the </w:t>
      </w:r>
      <w:r w:rsidRPr="00D67B85">
        <w:rPr>
          <w:sz w:val="20"/>
          <w:lang w:val="en"/>
        </w:rPr>
        <w:t>readings and lead discussion.</w:t>
      </w:r>
    </w:p>
    <w:p w:rsidR="00D67B85" w:rsidRPr="00D67B85" w:rsidRDefault="00D67B85" w:rsidP="00D67B85">
      <w:pPr>
        <w:pStyle w:val="NoSpacing"/>
        <w:rPr>
          <w:b/>
          <w:sz w:val="20"/>
          <w:lang w:val="en"/>
        </w:rPr>
      </w:pPr>
      <w:r w:rsidRPr="00D67B85">
        <w:rPr>
          <w:sz w:val="20"/>
          <w:lang w:val="en"/>
        </w:rPr>
        <w:br/>
      </w:r>
      <w:r w:rsidRPr="00D67B85">
        <w:rPr>
          <w:b/>
          <w:sz w:val="20"/>
          <w:lang w:val="en"/>
        </w:rPr>
        <w:t xml:space="preserve">Student Peer Review: </w:t>
      </w:r>
    </w:p>
    <w:p w:rsidR="00D67B85" w:rsidRPr="00D67B85" w:rsidRDefault="00D67B85" w:rsidP="00D67B85">
      <w:pPr>
        <w:pStyle w:val="NoSpacing"/>
        <w:rPr>
          <w:sz w:val="20"/>
          <w:lang w:val="en"/>
        </w:rPr>
      </w:pPr>
      <w:r w:rsidRPr="00D67B85">
        <w:rPr>
          <w:sz w:val="20"/>
          <w:lang w:val="en"/>
        </w:rPr>
        <w:t xml:space="preserve">All short essays will be peer reviewed to improve the clarity of the student's work. Two types of peer review will be used, private one to one review of papers and public reading / group review of papers. Student papers will be revised from peer review comments and the student's improved grade will be averaged. These are friendly reviews! </w:t>
      </w:r>
    </w:p>
    <w:p w:rsidR="00183F7A" w:rsidRDefault="00183F7A" w:rsidP="00D67B85">
      <w:pPr>
        <w:pStyle w:val="NoSpacing"/>
        <w:rPr>
          <w:sz w:val="20"/>
          <w:lang w:val="en"/>
        </w:rPr>
      </w:pPr>
    </w:p>
    <w:p w:rsidR="00D67B85" w:rsidRPr="00D67B85" w:rsidRDefault="00D67B85" w:rsidP="00D67B85">
      <w:pPr>
        <w:pStyle w:val="NoSpacing"/>
        <w:rPr>
          <w:b/>
          <w:sz w:val="20"/>
          <w:lang w:val="en"/>
        </w:rPr>
      </w:pPr>
      <w:r w:rsidRPr="00D67B85">
        <w:rPr>
          <w:b/>
          <w:sz w:val="20"/>
          <w:lang w:val="en"/>
        </w:rPr>
        <w:lastRenderedPageBreak/>
        <w:t xml:space="preserve">Final Essay: </w:t>
      </w:r>
    </w:p>
    <w:p w:rsidR="00D67B85" w:rsidRPr="00D67B85" w:rsidRDefault="00D67B85" w:rsidP="00D67B85">
      <w:pPr>
        <w:pStyle w:val="NoSpacing"/>
        <w:rPr>
          <w:sz w:val="20"/>
          <w:lang w:val="en"/>
        </w:rPr>
      </w:pPr>
      <w:r w:rsidRPr="00D67B85">
        <w:rPr>
          <w:sz w:val="20"/>
          <w:lang w:val="en"/>
        </w:rPr>
        <w:t xml:space="preserve">An architectural work shall be selected (by the student and approved by the instructor) for analysis. A minimum of six readings will be used in the analysis. Your short essays will form the basis for developing the term paper. An outline must be submitted </w:t>
      </w:r>
      <w:r>
        <w:rPr>
          <w:sz w:val="20"/>
          <w:lang w:val="en"/>
        </w:rPr>
        <w:t>4</w:t>
      </w:r>
      <w:r w:rsidRPr="00D67B85">
        <w:rPr>
          <w:sz w:val="20"/>
          <w:lang w:val="en"/>
        </w:rPr>
        <w:t xml:space="preserve"> weeks prior to the paper's due date. All papers will be peer reviewed and revised to improve the student's paper. </w:t>
      </w:r>
    </w:p>
    <w:p w:rsidR="00D67B85" w:rsidRPr="00D67B85" w:rsidRDefault="00D67B85" w:rsidP="00D67B85">
      <w:pPr>
        <w:pStyle w:val="NoSpacing"/>
        <w:rPr>
          <w:b/>
          <w:sz w:val="20"/>
          <w:lang w:val="en"/>
        </w:rPr>
      </w:pPr>
      <w:r w:rsidRPr="00D67B85">
        <w:rPr>
          <w:sz w:val="20"/>
          <w:lang w:val="en"/>
        </w:rPr>
        <w:br/>
      </w:r>
      <w:r w:rsidRPr="00D67B85">
        <w:rPr>
          <w:b/>
          <w:sz w:val="20"/>
          <w:lang w:val="en"/>
        </w:rPr>
        <w:t xml:space="preserve">Formal Exams/Quizzes: </w:t>
      </w:r>
    </w:p>
    <w:p w:rsidR="00D67B85" w:rsidRPr="00D67B85" w:rsidRDefault="00D67B85" w:rsidP="00D67B85">
      <w:pPr>
        <w:pStyle w:val="NoSpacing"/>
        <w:rPr>
          <w:sz w:val="20"/>
          <w:lang w:val="en"/>
        </w:rPr>
      </w:pPr>
      <w:r w:rsidRPr="00D67B85">
        <w:rPr>
          <w:sz w:val="20"/>
          <w:lang w:val="en"/>
        </w:rPr>
        <w:t xml:space="preserve">None! Architectural theory is about a thought process of critical inquiry and objectivity. Initial ideas will be formed through reading and discussion. They will then be developed and refined through the writing process. Emphasis is on a qualitative understanding of the material and its application in explaining architectural issues. </w:t>
      </w:r>
    </w:p>
    <w:p w:rsidR="00D67B85" w:rsidRDefault="00D67B85" w:rsidP="00D67B85">
      <w:pPr>
        <w:pStyle w:val="NoSpacing"/>
        <w:rPr>
          <w:color w:val="333333"/>
          <w:sz w:val="20"/>
          <w:lang w:val="en"/>
        </w:rPr>
      </w:pPr>
      <w:r w:rsidRPr="00D67B85">
        <w:rPr>
          <w:sz w:val="20"/>
          <w:lang w:val="en"/>
        </w:rPr>
        <w:br/>
      </w:r>
      <w:r w:rsidRPr="00D67B85">
        <w:rPr>
          <w:b/>
          <w:bCs/>
          <w:color w:val="333333"/>
          <w:sz w:val="20"/>
          <w:lang w:val="en"/>
        </w:rPr>
        <w:t xml:space="preserve">Course Readings from Stein &amp; </w:t>
      </w:r>
      <w:proofErr w:type="spellStart"/>
      <w:r w:rsidRPr="00D67B85">
        <w:rPr>
          <w:b/>
          <w:bCs/>
          <w:color w:val="333333"/>
          <w:sz w:val="20"/>
          <w:lang w:val="en"/>
        </w:rPr>
        <w:t>Spreckelmeyer</w:t>
      </w:r>
      <w:proofErr w:type="spellEnd"/>
      <w:r w:rsidRPr="00D67B85">
        <w:rPr>
          <w:b/>
          <w:bCs/>
          <w:color w:val="333333"/>
          <w:sz w:val="20"/>
          <w:lang w:val="en"/>
        </w:rPr>
        <w:t xml:space="preserve"> Classic Readings in Architecture:</w:t>
      </w:r>
      <w:r w:rsidRPr="00D67B85">
        <w:rPr>
          <w:color w:val="333333"/>
          <w:sz w:val="20"/>
          <w:lang w:val="en"/>
        </w:rPr>
        <w:t xml:space="preserve"> </w:t>
      </w:r>
    </w:p>
    <w:p w:rsidR="00D67B85" w:rsidRPr="00D67B85" w:rsidRDefault="00D67B85" w:rsidP="00D67B85">
      <w:pPr>
        <w:pStyle w:val="NoSpacing"/>
        <w:rPr>
          <w:color w:val="333333"/>
          <w:sz w:val="20"/>
          <w:lang w:val="en"/>
        </w:rPr>
      </w:pPr>
      <w:r w:rsidRPr="00D67B85">
        <w:rPr>
          <w:sz w:val="20"/>
          <w:lang w:val="en"/>
        </w:rPr>
        <w:t xml:space="preserve">There will be two or three readings per week grouped around a common theme. The list of readings is </w:t>
      </w:r>
      <w:r w:rsidR="008A41D9">
        <w:rPr>
          <w:sz w:val="20"/>
          <w:lang w:val="en"/>
        </w:rPr>
        <w:t xml:space="preserve">outlined </w:t>
      </w:r>
      <w:r w:rsidRPr="00D67B85">
        <w:rPr>
          <w:sz w:val="20"/>
          <w:lang w:val="en"/>
        </w:rPr>
        <w:t>below</w:t>
      </w:r>
      <w:r w:rsidR="00D33D5A">
        <w:rPr>
          <w:sz w:val="20"/>
          <w:lang w:val="en"/>
        </w:rPr>
        <w:t xml:space="preserve">.  </w:t>
      </w:r>
      <w:r w:rsidRPr="00D67B85">
        <w:rPr>
          <w:i/>
          <w:iCs/>
          <w:color w:val="333333"/>
          <w:sz w:val="20"/>
          <w:lang w:val="en"/>
        </w:rPr>
        <w:t>(Note: not all readings are required</w:t>
      </w:r>
      <w:r w:rsidR="00781E0A">
        <w:rPr>
          <w:i/>
          <w:iCs/>
          <w:color w:val="333333"/>
          <w:sz w:val="20"/>
          <w:lang w:val="en"/>
        </w:rPr>
        <w:t xml:space="preserve"> and the Process of Architecture will only be partly covered</w:t>
      </w:r>
      <w:r w:rsidRPr="00D67B85">
        <w:rPr>
          <w:i/>
          <w:iCs/>
          <w:color w:val="333333"/>
          <w:sz w:val="20"/>
          <w:lang w:val="en"/>
        </w:rPr>
        <w:t>)</w:t>
      </w:r>
    </w:p>
    <w:p w:rsidR="00D67B85" w:rsidRPr="00D67B85" w:rsidRDefault="00D67B85" w:rsidP="00D67B85">
      <w:pPr>
        <w:pStyle w:val="NoSpacing"/>
        <w:rPr>
          <w:color w:val="333333"/>
          <w:sz w:val="20"/>
          <w:lang w:val="en"/>
        </w:rPr>
      </w:pPr>
      <w:r w:rsidRPr="00D67B85">
        <w:rPr>
          <w:color w:val="333333"/>
          <w:sz w:val="20"/>
          <w:lang w:val="en"/>
        </w:rPr>
        <w:t> </w:t>
      </w:r>
    </w:p>
    <w:p w:rsidR="00D67B85" w:rsidRPr="00D67B85" w:rsidRDefault="00D67B85" w:rsidP="00D67B85">
      <w:pPr>
        <w:pStyle w:val="NoSpacing"/>
        <w:rPr>
          <w:color w:val="333333"/>
          <w:sz w:val="20"/>
          <w:lang w:val="en"/>
        </w:rPr>
      </w:pPr>
      <w:r w:rsidRPr="00D67B85">
        <w:rPr>
          <w:b/>
          <w:bCs/>
          <w:color w:val="333333"/>
          <w:sz w:val="20"/>
          <w:lang w:val="en"/>
        </w:rPr>
        <w:t>Prologue</w:t>
      </w:r>
    </w:p>
    <w:p w:rsidR="00D67B85" w:rsidRPr="00D67B85" w:rsidRDefault="00D67B85" w:rsidP="00D67B85">
      <w:pPr>
        <w:pStyle w:val="NoSpacing"/>
        <w:rPr>
          <w:color w:val="333333"/>
          <w:sz w:val="20"/>
          <w:lang w:val="en"/>
        </w:rPr>
      </w:pPr>
      <w:r w:rsidRPr="00D67B85">
        <w:rPr>
          <w:color w:val="333333"/>
          <w:sz w:val="20"/>
          <w:lang w:val="en"/>
        </w:rPr>
        <w:t>1              Vitruvius (Marcus Pollio)"Book 1"</w:t>
      </w:r>
    </w:p>
    <w:p w:rsidR="00D67B85" w:rsidRPr="00D67B85" w:rsidRDefault="00D67B85" w:rsidP="00D67B85">
      <w:pPr>
        <w:pStyle w:val="NoSpacing"/>
        <w:rPr>
          <w:color w:val="333333"/>
          <w:sz w:val="20"/>
          <w:lang w:val="en"/>
        </w:rPr>
      </w:pPr>
      <w:r w:rsidRPr="00D67B85">
        <w:rPr>
          <w:b/>
          <w:bCs/>
          <w:color w:val="333333"/>
          <w:sz w:val="20"/>
          <w:lang w:val="en"/>
        </w:rPr>
        <w:t>ARCHITECTURE AS ARTIFACT</w:t>
      </w:r>
    </w:p>
    <w:p w:rsidR="00D67B85" w:rsidRPr="00D67B85" w:rsidRDefault="00D67B85" w:rsidP="00D67B85">
      <w:pPr>
        <w:pStyle w:val="NoSpacing"/>
        <w:rPr>
          <w:color w:val="333333"/>
          <w:sz w:val="20"/>
          <w:lang w:val="en"/>
        </w:rPr>
      </w:pPr>
      <w:r w:rsidRPr="00D67B85">
        <w:rPr>
          <w:b/>
          <w:bCs/>
          <w:i/>
          <w:iCs/>
          <w:color w:val="333333"/>
          <w:sz w:val="20"/>
          <w:lang w:val="en"/>
        </w:rPr>
        <w:t>I. Architectural History and Theory</w:t>
      </w:r>
    </w:p>
    <w:p w:rsidR="00D67B85" w:rsidRPr="00D67B85" w:rsidRDefault="00D67B85" w:rsidP="00D67B85">
      <w:pPr>
        <w:pStyle w:val="NoSpacing"/>
        <w:rPr>
          <w:color w:val="333333"/>
          <w:sz w:val="20"/>
          <w:lang w:val="en"/>
        </w:rPr>
      </w:pPr>
      <w:r w:rsidRPr="00D67B85">
        <w:rPr>
          <w:color w:val="333333"/>
          <w:sz w:val="20"/>
          <w:lang w:val="en"/>
        </w:rPr>
        <w:t>2              Kenneth Frampton "Cultural Transformation" and "Territorial Transformation"</w:t>
      </w:r>
    </w:p>
    <w:p w:rsidR="00D67B85" w:rsidRPr="00D67B85" w:rsidRDefault="00D67B85" w:rsidP="00D67B85">
      <w:pPr>
        <w:pStyle w:val="NoSpacing"/>
        <w:rPr>
          <w:color w:val="333333"/>
          <w:sz w:val="20"/>
          <w:lang w:val="en"/>
        </w:rPr>
      </w:pPr>
      <w:r w:rsidRPr="00D67B85">
        <w:rPr>
          <w:color w:val="333333"/>
          <w:sz w:val="20"/>
          <w:lang w:val="en"/>
        </w:rPr>
        <w:t>3              Colin Rowe "The Architecture of Utopia"</w:t>
      </w:r>
    </w:p>
    <w:p w:rsidR="00D67B85" w:rsidRPr="00D67B85" w:rsidRDefault="00D67B85" w:rsidP="00D67B85">
      <w:pPr>
        <w:pStyle w:val="NoSpacing"/>
        <w:rPr>
          <w:color w:val="333333"/>
          <w:sz w:val="20"/>
          <w:lang w:val="en"/>
        </w:rPr>
      </w:pPr>
      <w:r w:rsidRPr="00D67B85">
        <w:rPr>
          <w:color w:val="333333"/>
          <w:sz w:val="20"/>
          <w:lang w:val="en"/>
        </w:rPr>
        <w:t>4              Vincent Scully "The Architecture of Community"</w:t>
      </w:r>
    </w:p>
    <w:p w:rsidR="00D67B85" w:rsidRPr="00D67B85" w:rsidRDefault="00D67B85" w:rsidP="00D67B85">
      <w:pPr>
        <w:pStyle w:val="NoSpacing"/>
        <w:rPr>
          <w:color w:val="333333"/>
          <w:sz w:val="20"/>
          <w:lang w:val="en"/>
        </w:rPr>
      </w:pPr>
      <w:r w:rsidRPr="00D67B85">
        <w:rPr>
          <w:color w:val="333333"/>
          <w:sz w:val="20"/>
          <w:lang w:val="en"/>
        </w:rPr>
        <w:t xml:space="preserve">5              Robert </w:t>
      </w:r>
      <w:proofErr w:type="spellStart"/>
      <w:r w:rsidRPr="00D67B85">
        <w:rPr>
          <w:color w:val="333333"/>
          <w:sz w:val="20"/>
          <w:lang w:val="en"/>
        </w:rPr>
        <w:t>Venturi</w:t>
      </w:r>
      <w:proofErr w:type="spellEnd"/>
      <w:r w:rsidRPr="00D67B85">
        <w:rPr>
          <w:color w:val="333333"/>
          <w:sz w:val="20"/>
          <w:lang w:val="en"/>
        </w:rPr>
        <w:t xml:space="preserve"> "Historical and Other Precedents: Towards an Old Architecture"</w:t>
      </w:r>
    </w:p>
    <w:p w:rsidR="00D67B85" w:rsidRPr="00D67B85" w:rsidRDefault="00D67B85" w:rsidP="00D67B85">
      <w:pPr>
        <w:pStyle w:val="NoSpacing"/>
        <w:rPr>
          <w:color w:val="333333"/>
          <w:sz w:val="20"/>
          <w:lang w:val="en"/>
        </w:rPr>
      </w:pPr>
      <w:r w:rsidRPr="00D67B85">
        <w:rPr>
          <w:b/>
          <w:bCs/>
          <w:i/>
          <w:iCs/>
          <w:color w:val="333333"/>
          <w:sz w:val="20"/>
          <w:lang w:val="en"/>
        </w:rPr>
        <w:t xml:space="preserve">II. Architectural Forms </w:t>
      </w:r>
    </w:p>
    <w:p w:rsidR="00D67B85" w:rsidRPr="00D67B85" w:rsidRDefault="00D67B85" w:rsidP="00D67B85">
      <w:pPr>
        <w:pStyle w:val="NoSpacing"/>
        <w:rPr>
          <w:color w:val="333333"/>
          <w:sz w:val="20"/>
          <w:lang w:val="en"/>
        </w:rPr>
      </w:pPr>
      <w:r w:rsidRPr="00D67B85">
        <w:rPr>
          <w:color w:val="333333"/>
          <w:sz w:val="20"/>
          <w:lang w:val="en"/>
        </w:rPr>
        <w:t>6              Geoffrey Broadbent "Architects and Their Symbols"                                                           </w:t>
      </w:r>
    </w:p>
    <w:p w:rsidR="00D67B85" w:rsidRPr="00D67B85" w:rsidRDefault="00D67B85" w:rsidP="00D67B85">
      <w:pPr>
        <w:pStyle w:val="NoSpacing"/>
        <w:rPr>
          <w:color w:val="333333"/>
          <w:sz w:val="20"/>
          <w:lang w:val="en"/>
        </w:rPr>
      </w:pPr>
      <w:r w:rsidRPr="00D67B85">
        <w:rPr>
          <w:color w:val="333333"/>
          <w:sz w:val="20"/>
          <w:lang w:val="en"/>
        </w:rPr>
        <w:t>7              Alan Colquhoun "Historicism and the Limits of Semiology"</w:t>
      </w:r>
    </w:p>
    <w:p w:rsidR="00D67B85" w:rsidRPr="00D67B85" w:rsidRDefault="00D67B85" w:rsidP="00D67B85">
      <w:pPr>
        <w:pStyle w:val="NoSpacing"/>
        <w:rPr>
          <w:color w:val="333333"/>
          <w:sz w:val="20"/>
          <w:lang w:val="en"/>
        </w:rPr>
      </w:pPr>
      <w:r w:rsidRPr="00D67B85">
        <w:rPr>
          <w:color w:val="333333"/>
          <w:sz w:val="20"/>
          <w:lang w:val="en"/>
        </w:rPr>
        <w:t>8              James Marston Fitch "Experimental Context of the Aesthetic Process"</w:t>
      </w:r>
    </w:p>
    <w:p w:rsidR="00D67B85" w:rsidRPr="00D67B85" w:rsidRDefault="00D67B85" w:rsidP="00D67B85">
      <w:pPr>
        <w:pStyle w:val="NoSpacing"/>
        <w:rPr>
          <w:color w:val="333333"/>
          <w:sz w:val="20"/>
          <w:lang w:val="en"/>
        </w:rPr>
      </w:pPr>
      <w:r w:rsidRPr="00D67B85">
        <w:rPr>
          <w:color w:val="333333"/>
          <w:sz w:val="20"/>
          <w:lang w:val="en"/>
        </w:rPr>
        <w:t>9              Bruno Zevi "Listing as Design Methodology" and "Asymmetry and Dissonance"</w:t>
      </w:r>
    </w:p>
    <w:p w:rsidR="00D67B85" w:rsidRPr="00D67B85" w:rsidRDefault="00D67B85" w:rsidP="00D67B85">
      <w:pPr>
        <w:pStyle w:val="NoSpacing"/>
        <w:rPr>
          <w:color w:val="333333"/>
          <w:sz w:val="20"/>
          <w:lang w:val="en"/>
        </w:rPr>
      </w:pPr>
      <w:r w:rsidRPr="00D67B85">
        <w:rPr>
          <w:b/>
          <w:bCs/>
          <w:i/>
          <w:iCs/>
          <w:color w:val="333333"/>
          <w:sz w:val="20"/>
          <w:lang w:val="en"/>
        </w:rPr>
        <w:t>III. Architectural Technology</w:t>
      </w:r>
    </w:p>
    <w:p w:rsidR="00D67B85" w:rsidRPr="00D67B85" w:rsidRDefault="00D67B85" w:rsidP="00D67B85">
      <w:pPr>
        <w:pStyle w:val="NoSpacing"/>
        <w:rPr>
          <w:color w:val="333333"/>
          <w:sz w:val="20"/>
          <w:lang w:val="en"/>
        </w:rPr>
      </w:pPr>
      <w:r w:rsidRPr="00D67B85">
        <w:rPr>
          <w:color w:val="333333"/>
          <w:sz w:val="20"/>
          <w:lang w:val="en"/>
        </w:rPr>
        <w:t xml:space="preserve">10            </w:t>
      </w:r>
      <w:proofErr w:type="spellStart"/>
      <w:r w:rsidRPr="00D67B85">
        <w:rPr>
          <w:color w:val="333333"/>
          <w:sz w:val="20"/>
          <w:lang w:val="en"/>
        </w:rPr>
        <w:t>Reyner</w:t>
      </w:r>
      <w:proofErr w:type="spellEnd"/>
      <w:r w:rsidRPr="00D67B85">
        <w:rPr>
          <w:color w:val="333333"/>
          <w:sz w:val="20"/>
          <w:lang w:val="en"/>
        </w:rPr>
        <w:t xml:space="preserve"> Banham "A Breadth of Intelligence"                      </w:t>
      </w:r>
    </w:p>
    <w:p w:rsidR="00D67B85" w:rsidRPr="00D67B85" w:rsidRDefault="00D67B85" w:rsidP="00D67B85">
      <w:pPr>
        <w:pStyle w:val="NoSpacing"/>
        <w:rPr>
          <w:color w:val="333333"/>
          <w:sz w:val="20"/>
          <w:lang w:val="en"/>
        </w:rPr>
      </w:pPr>
      <w:r w:rsidRPr="00D67B85">
        <w:rPr>
          <w:color w:val="333333"/>
          <w:sz w:val="20"/>
          <w:lang w:val="en"/>
        </w:rPr>
        <w:t>11            Peter McCleary "Some Characteristics of a New Concept"</w:t>
      </w:r>
    </w:p>
    <w:p w:rsidR="00D67B85" w:rsidRPr="00D67B85" w:rsidRDefault="00D67B85" w:rsidP="00D67B85">
      <w:pPr>
        <w:pStyle w:val="NoSpacing"/>
        <w:rPr>
          <w:color w:val="333333"/>
          <w:sz w:val="20"/>
          <w:lang w:val="en"/>
        </w:rPr>
      </w:pPr>
      <w:r w:rsidRPr="00D67B85">
        <w:rPr>
          <w:color w:val="333333"/>
          <w:sz w:val="20"/>
          <w:lang w:val="en"/>
        </w:rPr>
        <w:t xml:space="preserve">12            Mario </w:t>
      </w:r>
      <w:proofErr w:type="spellStart"/>
      <w:r w:rsidRPr="00D67B85">
        <w:rPr>
          <w:color w:val="333333"/>
          <w:sz w:val="20"/>
          <w:lang w:val="en"/>
        </w:rPr>
        <w:t>Salvadori</w:t>
      </w:r>
      <w:proofErr w:type="spellEnd"/>
      <w:r w:rsidRPr="00D67B85">
        <w:rPr>
          <w:color w:val="333333"/>
          <w:sz w:val="20"/>
          <w:lang w:val="en"/>
        </w:rPr>
        <w:t xml:space="preserve"> "Form-Resistant Structures"</w:t>
      </w:r>
    </w:p>
    <w:p w:rsidR="00D67B85" w:rsidRPr="00D67B85" w:rsidRDefault="00D67B85" w:rsidP="00D67B85">
      <w:pPr>
        <w:pStyle w:val="NoSpacing"/>
        <w:rPr>
          <w:color w:val="333333"/>
          <w:sz w:val="20"/>
          <w:lang w:val="en"/>
        </w:rPr>
      </w:pPr>
      <w:r w:rsidRPr="00D67B85">
        <w:rPr>
          <w:color w:val="333333"/>
          <w:sz w:val="20"/>
          <w:lang w:val="en"/>
        </w:rPr>
        <w:t>13            Louis Sullivan "The Tall Office Building Artistically Considered"</w:t>
      </w:r>
    </w:p>
    <w:p w:rsidR="00D67B85" w:rsidRPr="00D67B85" w:rsidRDefault="00D67B85" w:rsidP="00D67B85">
      <w:pPr>
        <w:pStyle w:val="NoSpacing"/>
        <w:rPr>
          <w:color w:val="333333"/>
          <w:sz w:val="20"/>
          <w:lang w:val="en"/>
        </w:rPr>
      </w:pPr>
      <w:r w:rsidRPr="00D67B85">
        <w:rPr>
          <w:b/>
          <w:bCs/>
          <w:color w:val="333333"/>
          <w:sz w:val="20"/>
          <w:lang w:val="en"/>
        </w:rPr>
        <w:t>THE CONTEXT OF ARCHITECTURE</w:t>
      </w:r>
    </w:p>
    <w:p w:rsidR="00D67B85" w:rsidRPr="00D67B85" w:rsidRDefault="00D67B85" w:rsidP="00D67B85">
      <w:pPr>
        <w:pStyle w:val="NoSpacing"/>
        <w:rPr>
          <w:color w:val="333333"/>
          <w:sz w:val="20"/>
          <w:lang w:val="en"/>
        </w:rPr>
      </w:pPr>
      <w:r w:rsidRPr="00D67B85">
        <w:rPr>
          <w:b/>
          <w:bCs/>
          <w:i/>
          <w:iCs/>
          <w:color w:val="333333"/>
          <w:sz w:val="20"/>
          <w:lang w:val="en"/>
        </w:rPr>
        <w:t xml:space="preserve">IV. The Urban Environment    </w:t>
      </w:r>
    </w:p>
    <w:p w:rsidR="00D67B85" w:rsidRPr="00D67B85" w:rsidRDefault="00D67B85" w:rsidP="00D67B85">
      <w:pPr>
        <w:pStyle w:val="NoSpacing"/>
        <w:rPr>
          <w:color w:val="333333"/>
          <w:sz w:val="20"/>
          <w:lang w:val="en"/>
        </w:rPr>
      </w:pPr>
      <w:r w:rsidRPr="00D67B85">
        <w:rPr>
          <w:color w:val="333333"/>
          <w:sz w:val="20"/>
          <w:lang w:val="en"/>
        </w:rPr>
        <w:t>14            Delores Hayden "Placemaking, Preservation and Urban History"</w:t>
      </w:r>
    </w:p>
    <w:p w:rsidR="00D67B85" w:rsidRPr="00D67B85" w:rsidRDefault="00D67B85" w:rsidP="00D67B85">
      <w:pPr>
        <w:pStyle w:val="NoSpacing"/>
        <w:rPr>
          <w:color w:val="333333"/>
          <w:sz w:val="20"/>
          <w:lang w:val="en"/>
        </w:rPr>
      </w:pPr>
      <w:r w:rsidRPr="00D67B85">
        <w:rPr>
          <w:color w:val="333333"/>
          <w:sz w:val="20"/>
          <w:lang w:val="en"/>
        </w:rPr>
        <w:t>15            Jane Jacobs "The Need for Aged Buildings"</w:t>
      </w:r>
    </w:p>
    <w:p w:rsidR="00D67B85" w:rsidRPr="00D67B85" w:rsidRDefault="00D67B85" w:rsidP="00D67B85">
      <w:pPr>
        <w:pStyle w:val="NoSpacing"/>
        <w:rPr>
          <w:color w:val="333333"/>
          <w:sz w:val="20"/>
          <w:lang w:val="en"/>
        </w:rPr>
      </w:pPr>
      <w:r w:rsidRPr="00D67B85">
        <w:rPr>
          <w:color w:val="333333"/>
          <w:sz w:val="20"/>
          <w:lang w:val="en"/>
        </w:rPr>
        <w:t>16            Lewis Mumford "Retrospect and Prospect"</w:t>
      </w:r>
    </w:p>
    <w:p w:rsidR="00D67B85" w:rsidRPr="00D67B85" w:rsidRDefault="00D67B85" w:rsidP="00D67B85">
      <w:pPr>
        <w:pStyle w:val="NoSpacing"/>
        <w:rPr>
          <w:color w:val="333333"/>
          <w:sz w:val="20"/>
          <w:lang w:val="en"/>
        </w:rPr>
      </w:pPr>
      <w:r w:rsidRPr="00D67B85">
        <w:rPr>
          <w:color w:val="333333"/>
          <w:sz w:val="20"/>
          <w:lang w:val="en"/>
        </w:rPr>
        <w:t>17            William H. Whyte "Return to the Agora"</w:t>
      </w:r>
    </w:p>
    <w:p w:rsidR="00D67B85" w:rsidRPr="00D67B85" w:rsidRDefault="00D67B85" w:rsidP="00D67B85">
      <w:pPr>
        <w:pStyle w:val="NoSpacing"/>
        <w:rPr>
          <w:color w:val="333333"/>
          <w:sz w:val="20"/>
          <w:lang w:val="en"/>
        </w:rPr>
      </w:pPr>
      <w:r w:rsidRPr="00D67B85">
        <w:rPr>
          <w:b/>
          <w:bCs/>
          <w:i/>
          <w:iCs/>
          <w:color w:val="333333"/>
          <w:sz w:val="20"/>
          <w:lang w:val="en"/>
        </w:rPr>
        <w:t>V.  The Natural Environment</w:t>
      </w:r>
    </w:p>
    <w:p w:rsidR="00D67B85" w:rsidRPr="00D67B85" w:rsidRDefault="00D67B85" w:rsidP="00D67B85">
      <w:pPr>
        <w:pStyle w:val="NoSpacing"/>
        <w:rPr>
          <w:color w:val="333333"/>
          <w:sz w:val="20"/>
          <w:lang w:val="en"/>
        </w:rPr>
      </w:pPr>
      <w:r w:rsidRPr="00D67B85">
        <w:rPr>
          <w:color w:val="333333"/>
          <w:sz w:val="20"/>
          <w:lang w:val="en"/>
        </w:rPr>
        <w:t>18            John B. Jackson "The American Public Space"</w:t>
      </w:r>
    </w:p>
    <w:p w:rsidR="00D67B85" w:rsidRPr="00D67B85" w:rsidRDefault="00D67B85" w:rsidP="00D67B85">
      <w:pPr>
        <w:pStyle w:val="NoSpacing"/>
        <w:rPr>
          <w:color w:val="333333"/>
          <w:sz w:val="20"/>
          <w:lang w:val="en"/>
        </w:rPr>
      </w:pPr>
      <w:r w:rsidRPr="00D67B85">
        <w:rPr>
          <w:color w:val="333333"/>
          <w:sz w:val="20"/>
          <w:lang w:val="en"/>
        </w:rPr>
        <w:t>19            Kevin Lynch "The Waste of Place"</w:t>
      </w:r>
    </w:p>
    <w:p w:rsidR="00D67B85" w:rsidRPr="00D67B85" w:rsidRDefault="00D67B85" w:rsidP="00D67B85">
      <w:pPr>
        <w:pStyle w:val="NoSpacing"/>
        <w:rPr>
          <w:color w:val="333333"/>
          <w:sz w:val="20"/>
          <w:lang w:val="en"/>
        </w:rPr>
      </w:pPr>
      <w:r w:rsidRPr="00D67B85">
        <w:rPr>
          <w:color w:val="333333"/>
          <w:sz w:val="20"/>
          <w:lang w:val="en"/>
        </w:rPr>
        <w:t xml:space="preserve">20            Ian </w:t>
      </w:r>
      <w:proofErr w:type="spellStart"/>
      <w:r w:rsidRPr="00D67B85">
        <w:rPr>
          <w:color w:val="333333"/>
          <w:sz w:val="20"/>
          <w:lang w:val="en"/>
        </w:rPr>
        <w:t>McHarg</w:t>
      </w:r>
      <w:proofErr w:type="spellEnd"/>
      <w:r w:rsidRPr="00D67B85">
        <w:rPr>
          <w:color w:val="333333"/>
          <w:sz w:val="20"/>
          <w:lang w:val="en"/>
        </w:rPr>
        <w:t xml:space="preserve"> "On Values"</w:t>
      </w:r>
    </w:p>
    <w:p w:rsidR="00D67B85" w:rsidRPr="00D67B85" w:rsidRDefault="00D67B85" w:rsidP="00D67B85">
      <w:pPr>
        <w:pStyle w:val="NoSpacing"/>
        <w:rPr>
          <w:color w:val="333333"/>
          <w:sz w:val="20"/>
          <w:lang w:val="en"/>
        </w:rPr>
      </w:pPr>
      <w:r w:rsidRPr="00D67B85">
        <w:rPr>
          <w:b/>
          <w:bCs/>
          <w:i/>
          <w:iCs/>
          <w:color w:val="333333"/>
          <w:sz w:val="20"/>
          <w:lang w:val="en"/>
        </w:rPr>
        <w:t>VI. The Human Environment</w:t>
      </w:r>
    </w:p>
    <w:p w:rsidR="00D67B85" w:rsidRPr="00D67B85" w:rsidRDefault="00D67B85" w:rsidP="00D67B85">
      <w:pPr>
        <w:pStyle w:val="NoSpacing"/>
        <w:rPr>
          <w:color w:val="333333"/>
          <w:sz w:val="20"/>
          <w:lang w:val="en"/>
        </w:rPr>
      </w:pPr>
      <w:r w:rsidRPr="00D67B85">
        <w:rPr>
          <w:color w:val="333333"/>
          <w:sz w:val="20"/>
          <w:lang w:val="en"/>
        </w:rPr>
        <w:t>21            Clare Cooper Marcus "The House as Symbol of Self"</w:t>
      </w:r>
    </w:p>
    <w:p w:rsidR="00D67B85" w:rsidRPr="00D67B85" w:rsidRDefault="00D67B85" w:rsidP="00D67B85">
      <w:pPr>
        <w:pStyle w:val="NoSpacing"/>
        <w:rPr>
          <w:color w:val="333333"/>
          <w:sz w:val="20"/>
          <w:lang w:val="en"/>
        </w:rPr>
      </w:pPr>
      <w:r w:rsidRPr="00D67B85">
        <w:rPr>
          <w:color w:val="333333"/>
          <w:sz w:val="20"/>
          <w:lang w:val="en"/>
        </w:rPr>
        <w:t>22            Edward T. Hall "The Anthropology of Space"</w:t>
      </w:r>
    </w:p>
    <w:p w:rsidR="00D67B85" w:rsidRPr="00D67B85" w:rsidRDefault="00D67B85" w:rsidP="00D67B85">
      <w:pPr>
        <w:pStyle w:val="NoSpacing"/>
        <w:rPr>
          <w:color w:val="333333"/>
          <w:sz w:val="20"/>
          <w:lang w:val="en"/>
        </w:rPr>
      </w:pPr>
      <w:r w:rsidRPr="00D67B85">
        <w:rPr>
          <w:color w:val="333333"/>
          <w:sz w:val="20"/>
          <w:lang w:val="en"/>
        </w:rPr>
        <w:t>23            Amos Rapoport "On the Cultural Responsiveness of Architecture"</w:t>
      </w:r>
    </w:p>
    <w:p w:rsidR="00D67B85" w:rsidRPr="00D67B85" w:rsidRDefault="00D67B85" w:rsidP="00D67B85">
      <w:pPr>
        <w:pStyle w:val="NoSpacing"/>
        <w:rPr>
          <w:color w:val="333333"/>
          <w:sz w:val="20"/>
          <w:lang w:val="en"/>
        </w:rPr>
      </w:pPr>
      <w:r w:rsidRPr="00D67B85">
        <w:rPr>
          <w:color w:val="333333"/>
          <w:sz w:val="20"/>
          <w:lang w:val="en"/>
        </w:rPr>
        <w:t>24            Robert Sommer "Space-Time"</w:t>
      </w:r>
    </w:p>
    <w:p w:rsidR="00D67B85" w:rsidRPr="00D67B85" w:rsidRDefault="00D67B85" w:rsidP="00D67B85">
      <w:pPr>
        <w:pStyle w:val="NoSpacing"/>
        <w:rPr>
          <w:color w:val="333333"/>
          <w:sz w:val="20"/>
          <w:lang w:val="en"/>
        </w:rPr>
      </w:pPr>
      <w:r w:rsidRPr="00D67B85">
        <w:rPr>
          <w:b/>
          <w:bCs/>
          <w:color w:val="333333"/>
          <w:sz w:val="20"/>
          <w:lang w:val="en"/>
        </w:rPr>
        <w:t>THE PROCESS OF ARCHITECTURE</w:t>
      </w:r>
    </w:p>
    <w:p w:rsidR="00D67B85" w:rsidRPr="00D67B85" w:rsidRDefault="00D67B85" w:rsidP="00D67B85">
      <w:pPr>
        <w:pStyle w:val="NoSpacing"/>
        <w:rPr>
          <w:color w:val="333333"/>
          <w:sz w:val="20"/>
          <w:lang w:val="en"/>
        </w:rPr>
      </w:pPr>
      <w:r w:rsidRPr="00D67B85">
        <w:rPr>
          <w:b/>
          <w:bCs/>
          <w:i/>
          <w:iCs/>
          <w:color w:val="333333"/>
          <w:sz w:val="20"/>
          <w:lang w:val="en"/>
        </w:rPr>
        <w:t>VI. The Design Process</w:t>
      </w:r>
    </w:p>
    <w:p w:rsidR="00D67B85" w:rsidRPr="00D67B85" w:rsidRDefault="00D67B85" w:rsidP="00D67B85">
      <w:pPr>
        <w:pStyle w:val="NoSpacing"/>
        <w:rPr>
          <w:color w:val="333333"/>
          <w:sz w:val="20"/>
          <w:lang w:val="en"/>
        </w:rPr>
      </w:pPr>
      <w:r w:rsidRPr="00D67B85">
        <w:rPr>
          <w:color w:val="333333"/>
          <w:sz w:val="20"/>
          <w:lang w:val="en"/>
        </w:rPr>
        <w:t>25            Christopher Alexander "Goodness of Fit"</w:t>
      </w:r>
    </w:p>
    <w:p w:rsidR="00D67B85" w:rsidRPr="00D67B85" w:rsidRDefault="00D67B85" w:rsidP="00D67B85">
      <w:pPr>
        <w:pStyle w:val="NoSpacing"/>
        <w:rPr>
          <w:color w:val="333333"/>
          <w:sz w:val="20"/>
          <w:lang w:val="en"/>
        </w:rPr>
      </w:pPr>
      <w:r w:rsidRPr="00D67B85">
        <w:rPr>
          <w:color w:val="333333"/>
          <w:sz w:val="20"/>
          <w:lang w:val="en"/>
        </w:rPr>
        <w:t>26            Peter Rowe " A Prior Knowledge and Heuristic Reasoning in Architecture"</w:t>
      </w:r>
    </w:p>
    <w:p w:rsidR="00D67B85" w:rsidRPr="00D67B85" w:rsidRDefault="00D67B85" w:rsidP="00D67B85">
      <w:pPr>
        <w:pStyle w:val="NoSpacing"/>
        <w:rPr>
          <w:color w:val="333333"/>
          <w:sz w:val="20"/>
          <w:lang w:val="en"/>
        </w:rPr>
      </w:pPr>
      <w:r w:rsidRPr="00D67B85">
        <w:rPr>
          <w:color w:val="333333"/>
          <w:sz w:val="20"/>
          <w:lang w:val="en"/>
        </w:rPr>
        <w:t xml:space="preserve">27            Donald A. Schon "Toward a Marriage of Artistry and Applied Science in the Architectural Design Studio" </w:t>
      </w:r>
    </w:p>
    <w:p w:rsidR="00D67B85" w:rsidRPr="00D67B85" w:rsidRDefault="00D67B85" w:rsidP="00D67B85">
      <w:pPr>
        <w:pStyle w:val="NoSpacing"/>
        <w:rPr>
          <w:color w:val="333333"/>
          <w:sz w:val="20"/>
          <w:lang w:val="en"/>
        </w:rPr>
      </w:pPr>
      <w:r w:rsidRPr="00D67B85">
        <w:rPr>
          <w:color w:val="333333"/>
          <w:sz w:val="20"/>
          <w:lang w:val="en"/>
        </w:rPr>
        <w:t>28            Frank Lloyd Wright "The Cardboard House"        </w:t>
      </w:r>
    </w:p>
    <w:p w:rsidR="00D67B85" w:rsidRPr="00D67B85" w:rsidRDefault="00D67B85" w:rsidP="00D67B85">
      <w:pPr>
        <w:pStyle w:val="NoSpacing"/>
        <w:rPr>
          <w:color w:val="333333"/>
          <w:sz w:val="20"/>
          <w:lang w:val="en"/>
        </w:rPr>
      </w:pPr>
      <w:r w:rsidRPr="00D67B85">
        <w:rPr>
          <w:b/>
          <w:bCs/>
          <w:i/>
          <w:iCs/>
          <w:color w:val="333333"/>
          <w:sz w:val="20"/>
          <w:lang w:val="en"/>
        </w:rPr>
        <w:t>VIII. The Social Implications of Architecture</w:t>
      </w:r>
    </w:p>
    <w:p w:rsidR="00D67B85" w:rsidRPr="00D67B85" w:rsidRDefault="00D67B85" w:rsidP="00D67B85">
      <w:pPr>
        <w:pStyle w:val="NoSpacing"/>
        <w:rPr>
          <w:color w:val="333333"/>
          <w:sz w:val="20"/>
          <w:lang w:val="en"/>
        </w:rPr>
      </w:pPr>
      <w:r w:rsidRPr="00D67B85">
        <w:rPr>
          <w:color w:val="333333"/>
          <w:sz w:val="20"/>
          <w:lang w:val="en"/>
        </w:rPr>
        <w:t>29            R. Buckminster Fuller "Accommodating Human Unsettlement"                       </w:t>
      </w:r>
    </w:p>
    <w:p w:rsidR="00D67B85" w:rsidRPr="00D67B85" w:rsidRDefault="00D67B85" w:rsidP="00D67B85">
      <w:pPr>
        <w:pStyle w:val="NoSpacing"/>
        <w:rPr>
          <w:color w:val="333333"/>
          <w:sz w:val="20"/>
          <w:lang w:val="en"/>
        </w:rPr>
      </w:pPr>
      <w:r w:rsidRPr="00D67B85">
        <w:rPr>
          <w:color w:val="333333"/>
          <w:sz w:val="20"/>
          <w:lang w:val="en"/>
        </w:rPr>
        <w:lastRenderedPageBreak/>
        <w:t xml:space="preserve">30            </w:t>
      </w:r>
      <w:proofErr w:type="spellStart"/>
      <w:r w:rsidRPr="00D67B85">
        <w:rPr>
          <w:color w:val="333333"/>
          <w:sz w:val="20"/>
          <w:lang w:val="en"/>
        </w:rPr>
        <w:t>Donlyn</w:t>
      </w:r>
      <w:proofErr w:type="spellEnd"/>
      <w:r w:rsidRPr="00D67B85">
        <w:rPr>
          <w:color w:val="333333"/>
          <w:sz w:val="20"/>
          <w:lang w:val="en"/>
        </w:rPr>
        <w:t xml:space="preserve"> Lyndon "Design: Inquiry and Implication</w:t>
      </w:r>
    </w:p>
    <w:p w:rsidR="00D67B85" w:rsidRPr="00D67B85" w:rsidRDefault="00D67B85" w:rsidP="00D67B85">
      <w:pPr>
        <w:pStyle w:val="NoSpacing"/>
        <w:rPr>
          <w:color w:val="333333"/>
          <w:sz w:val="20"/>
          <w:lang w:val="en"/>
        </w:rPr>
      </w:pPr>
      <w:r w:rsidRPr="00D67B85">
        <w:rPr>
          <w:color w:val="333333"/>
          <w:sz w:val="20"/>
          <w:lang w:val="en"/>
        </w:rPr>
        <w:t>31            Victor Papanek "Design Responsibility"</w:t>
      </w:r>
    </w:p>
    <w:p w:rsidR="00D67B85" w:rsidRPr="00D67B85" w:rsidRDefault="00D67B85" w:rsidP="00D67B85">
      <w:pPr>
        <w:pStyle w:val="NoSpacing"/>
        <w:rPr>
          <w:color w:val="333333"/>
          <w:sz w:val="20"/>
          <w:lang w:val="en"/>
        </w:rPr>
      </w:pPr>
      <w:r w:rsidRPr="00D67B85">
        <w:rPr>
          <w:b/>
          <w:bCs/>
          <w:i/>
          <w:iCs/>
          <w:color w:val="333333"/>
          <w:sz w:val="20"/>
          <w:lang w:val="en"/>
        </w:rPr>
        <w:t>IX. The Architectural Profession</w:t>
      </w:r>
    </w:p>
    <w:p w:rsidR="00D67B85" w:rsidRPr="00D67B85" w:rsidRDefault="00D67B85" w:rsidP="00D67B85">
      <w:pPr>
        <w:pStyle w:val="NoSpacing"/>
        <w:rPr>
          <w:color w:val="333333"/>
          <w:sz w:val="20"/>
          <w:lang w:val="en"/>
        </w:rPr>
      </w:pPr>
      <w:r w:rsidRPr="00D67B85">
        <w:rPr>
          <w:color w:val="333333"/>
          <w:sz w:val="20"/>
          <w:lang w:val="en"/>
        </w:rPr>
        <w:t xml:space="preserve">32            Judith R. </w:t>
      </w:r>
      <w:proofErr w:type="spellStart"/>
      <w:r w:rsidRPr="00D67B85">
        <w:rPr>
          <w:color w:val="333333"/>
          <w:sz w:val="20"/>
          <w:lang w:val="en"/>
        </w:rPr>
        <w:t>Blau</w:t>
      </w:r>
      <w:proofErr w:type="spellEnd"/>
      <w:r w:rsidRPr="00D67B85">
        <w:rPr>
          <w:color w:val="333333"/>
          <w:sz w:val="20"/>
          <w:lang w:val="en"/>
        </w:rPr>
        <w:t xml:space="preserve"> "Architecture and the Risk"          </w:t>
      </w:r>
    </w:p>
    <w:p w:rsidR="00D67B85" w:rsidRPr="00D67B85" w:rsidRDefault="00D67B85" w:rsidP="00D67B85">
      <w:pPr>
        <w:pStyle w:val="NoSpacing"/>
        <w:rPr>
          <w:color w:val="333333"/>
          <w:sz w:val="20"/>
          <w:lang w:val="en"/>
        </w:rPr>
      </w:pPr>
      <w:r w:rsidRPr="00D67B85">
        <w:rPr>
          <w:color w:val="333333"/>
          <w:sz w:val="20"/>
          <w:lang w:val="en"/>
        </w:rPr>
        <w:t>33            Robert Gutman "Challenges in Architecture"</w:t>
      </w:r>
    </w:p>
    <w:p w:rsidR="00D67B85" w:rsidRDefault="00D67B85" w:rsidP="00D67B85">
      <w:pPr>
        <w:pStyle w:val="NoSpacing"/>
        <w:rPr>
          <w:color w:val="333333"/>
          <w:sz w:val="20"/>
          <w:lang w:val="en"/>
        </w:rPr>
      </w:pPr>
      <w:r w:rsidRPr="00D67B85">
        <w:rPr>
          <w:color w:val="333333"/>
          <w:sz w:val="20"/>
          <w:lang w:val="en"/>
        </w:rPr>
        <w:t xml:space="preserve">34           </w:t>
      </w:r>
      <w:r w:rsidR="00E3532A">
        <w:rPr>
          <w:color w:val="333333"/>
          <w:sz w:val="20"/>
          <w:lang w:val="en"/>
        </w:rPr>
        <w:t xml:space="preserve"> </w:t>
      </w:r>
      <w:r w:rsidRPr="00D67B85">
        <w:rPr>
          <w:color w:val="333333"/>
          <w:sz w:val="20"/>
          <w:lang w:val="en"/>
        </w:rPr>
        <w:t>David S. Haviland "Some Shifts in Building Design and Their Implications for Design Practices</w:t>
      </w:r>
      <w:r>
        <w:rPr>
          <w:color w:val="333333"/>
          <w:sz w:val="20"/>
          <w:lang w:val="en"/>
        </w:rPr>
        <w:t xml:space="preserve"> an</w:t>
      </w:r>
      <w:r w:rsidRPr="00D67B85">
        <w:rPr>
          <w:color w:val="333333"/>
          <w:sz w:val="20"/>
          <w:lang w:val="en"/>
        </w:rPr>
        <w:t>d</w:t>
      </w:r>
      <w:r>
        <w:rPr>
          <w:color w:val="333333"/>
          <w:sz w:val="20"/>
          <w:lang w:val="en"/>
        </w:rPr>
        <w:t xml:space="preserve"> </w:t>
      </w:r>
    </w:p>
    <w:p w:rsidR="00D67B85" w:rsidRPr="00D67B85" w:rsidRDefault="00D67B85" w:rsidP="00D67B85">
      <w:pPr>
        <w:pStyle w:val="NoSpacing"/>
        <w:ind w:firstLine="720"/>
        <w:rPr>
          <w:color w:val="333333"/>
          <w:sz w:val="20"/>
          <w:lang w:val="en"/>
        </w:rPr>
      </w:pPr>
      <w:r>
        <w:rPr>
          <w:color w:val="333333"/>
          <w:sz w:val="20"/>
          <w:lang w:val="en"/>
        </w:rPr>
        <w:t xml:space="preserve"> </w:t>
      </w:r>
      <w:r w:rsidR="00E3532A">
        <w:rPr>
          <w:color w:val="333333"/>
          <w:sz w:val="20"/>
          <w:lang w:val="en"/>
        </w:rPr>
        <w:t xml:space="preserve"> </w:t>
      </w:r>
      <w:r>
        <w:rPr>
          <w:color w:val="333333"/>
          <w:sz w:val="20"/>
          <w:lang w:val="en"/>
        </w:rPr>
        <w:t>M</w:t>
      </w:r>
      <w:r w:rsidRPr="00D67B85">
        <w:rPr>
          <w:color w:val="333333"/>
          <w:sz w:val="20"/>
          <w:lang w:val="en"/>
        </w:rPr>
        <w:t xml:space="preserve">anagement" </w:t>
      </w:r>
    </w:p>
    <w:p w:rsidR="00D67B85" w:rsidRPr="00D67B85" w:rsidRDefault="00D67B85" w:rsidP="00D67B85">
      <w:pPr>
        <w:pStyle w:val="NoSpacing"/>
        <w:rPr>
          <w:color w:val="333333"/>
          <w:sz w:val="20"/>
          <w:lang w:val="en"/>
        </w:rPr>
      </w:pPr>
      <w:r w:rsidRPr="00D67B85">
        <w:rPr>
          <w:color w:val="333333"/>
          <w:sz w:val="20"/>
          <w:lang w:val="en"/>
        </w:rPr>
        <w:t xml:space="preserve">35           </w:t>
      </w:r>
      <w:r w:rsidR="00E3532A">
        <w:rPr>
          <w:color w:val="333333"/>
          <w:sz w:val="20"/>
          <w:lang w:val="en"/>
        </w:rPr>
        <w:t xml:space="preserve"> </w:t>
      </w:r>
      <w:r w:rsidRPr="00D67B85">
        <w:rPr>
          <w:color w:val="333333"/>
          <w:sz w:val="20"/>
          <w:lang w:val="en"/>
        </w:rPr>
        <w:t xml:space="preserve">Wolfgang F. E. </w:t>
      </w:r>
      <w:proofErr w:type="spellStart"/>
      <w:r w:rsidRPr="00D67B85">
        <w:rPr>
          <w:color w:val="333333"/>
          <w:sz w:val="20"/>
          <w:lang w:val="en"/>
        </w:rPr>
        <w:t>Preiser</w:t>
      </w:r>
      <w:proofErr w:type="spellEnd"/>
      <w:r w:rsidRPr="00D67B85">
        <w:rPr>
          <w:color w:val="333333"/>
          <w:sz w:val="20"/>
          <w:lang w:val="en"/>
        </w:rPr>
        <w:t xml:space="preserve"> "Built Environment Evaluation: Conceptual Basis, Benefits, and Uses" </w:t>
      </w:r>
    </w:p>
    <w:p w:rsidR="00D67B85" w:rsidRPr="00D67B85" w:rsidRDefault="00D67B85" w:rsidP="00D67B85">
      <w:pPr>
        <w:pStyle w:val="NoSpacing"/>
        <w:rPr>
          <w:color w:val="333333"/>
          <w:sz w:val="20"/>
          <w:lang w:val="en"/>
        </w:rPr>
      </w:pPr>
      <w:r w:rsidRPr="00D67B85">
        <w:rPr>
          <w:color w:val="333333"/>
          <w:sz w:val="20"/>
          <w:lang w:val="en"/>
        </w:rPr>
        <w:t xml:space="preserve">36            Ernest L. Boyer and Lee D. </w:t>
      </w:r>
      <w:proofErr w:type="spellStart"/>
      <w:r w:rsidRPr="00D67B85">
        <w:rPr>
          <w:color w:val="333333"/>
          <w:sz w:val="20"/>
          <w:lang w:val="en"/>
        </w:rPr>
        <w:t>Mitgang</w:t>
      </w:r>
      <w:proofErr w:type="spellEnd"/>
      <w:r w:rsidRPr="00D67B85">
        <w:rPr>
          <w:color w:val="333333"/>
          <w:sz w:val="20"/>
          <w:lang w:val="en"/>
        </w:rPr>
        <w:t xml:space="preserve"> "Profession in Perspective"</w:t>
      </w:r>
    </w:p>
    <w:p w:rsidR="00D67B85" w:rsidRPr="00D67B85" w:rsidRDefault="00D67B85" w:rsidP="00D67B85">
      <w:pPr>
        <w:pStyle w:val="NoSpacing"/>
        <w:rPr>
          <w:sz w:val="20"/>
        </w:rPr>
      </w:pPr>
    </w:p>
    <w:p w:rsidR="00D67B85" w:rsidRPr="00D67B85" w:rsidRDefault="00D67B85" w:rsidP="00D67B85">
      <w:pPr>
        <w:pStyle w:val="NoSpacing"/>
        <w:rPr>
          <w:sz w:val="20"/>
        </w:rPr>
      </w:pPr>
    </w:p>
    <w:p w:rsidR="009669A6" w:rsidRPr="009669A6" w:rsidRDefault="00D842CF" w:rsidP="00D842CF">
      <w:pPr>
        <w:pStyle w:val="Header"/>
        <w:tabs>
          <w:tab w:val="clear" w:pos="4320"/>
          <w:tab w:val="clear" w:pos="8640"/>
          <w:tab w:val="left" w:pos="2160"/>
        </w:tabs>
        <w:ind w:left="2160" w:hanging="2160"/>
        <w:rPr>
          <w:b/>
          <w:sz w:val="20"/>
        </w:rPr>
      </w:pPr>
      <w:r w:rsidRPr="009669A6">
        <w:rPr>
          <w:b/>
          <w:sz w:val="20"/>
        </w:rPr>
        <w:t>Course Objectives:</w:t>
      </w:r>
      <w:r w:rsidRPr="009669A6">
        <w:rPr>
          <w:b/>
          <w:sz w:val="20"/>
        </w:rPr>
        <w:tab/>
      </w:r>
    </w:p>
    <w:p w:rsidR="00D67B85" w:rsidRPr="00D67B85" w:rsidRDefault="00D67B85" w:rsidP="009669A6">
      <w:pPr>
        <w:pStyle w:val="NoSpacing"/>
        <w:numPr>
          <w:ilvl w:val="0"/>
          <w:numId w:val="3"/>
        </w:numPr>
        <w:rPr>
          <w:sz w:val="20"/>
        </w:rPr>
      </w:pPr>
      <w:r w:rsidRPr="00D67B85">
        <w:rPr>
          <w:sz w:val="20"/>
        </w:rPr>
        <w:t>Students will develop a basic understanding of classic and contemporary architectural theory.</w:t>
      </w:r>
    </w:p>
    <w:p w:rsidR="00D842CF" w:rsidRPr="00D67B85" w:rsidRDefault="00D67B85" w:rsidP="009669A6">
      <w:pPr>
        <w:pStyle w:val="NoSpacing"/>
        <w:numPr>
          <w:ilvl w:val="0"/>
          <w:numId w:val="3"/>
        </w:numPr>
        <w:rPr>
          <w:sz w:val="20"/>
        </w:rPr>
      </w:pPr>
      <w:r w:rsidRPr="00D67B85">
        <w:rPr>
          <w:sz w:val="20"/>
        </w:rPr>
        <w:t>Students should be able to apply this knowledge in analyzing and understanding a contemporary work of architecture</w:t>
      </w:r>
      <w:r w:rsidR="00D842CF" w:rsidRPr="00D67B85">
        <w:rPr>
          <w:sz w:val="20"/>
        </w:rPr>
        <w:t>.</w:t>
      </w:r>
    </w:p>
    <w:p w:rsidR="00D842CF" w:rsidRPr="009669A6" w:rsidRDefault="00D842CF" w:rsidP="00D842CF">
      <w:pPr>
        <w:pStyle w:val="Header"/>
        <w:tabs>
          <w:tab w:val="clear" w:pos="4320"/>
          <w:tab w:val="clear" w:pos="8640"/>
          <w:tab w:val="left" w:pos="2160"/>
        </w:tabs>
        <w:ind w:left="2160" w:hanging="2160"/>
        <w:rPr>
          <w:sz w:val="20"/>
        </w:rPr>
      </w:pPr>
    </w:p>
    <w:p w:rsidR="009669A6" w:rsidRPr="009669A6" w:rsidRDefault="00D842CF" w:rsidP="00D842CF">
      <w:pPr>
        <w:ind w:left="2160" w:hanging="2160"/>
        <w:rPr>
          <w:b/>
          <w:sz w:val="20"/>
        </w:rPr>
      </w:pPr>
      <w:r w:rsidRPr="009669A6">
        <w:rPr>
          <w:b/>
          <w:sz w:val="20"/>
        </w:rPr>
        <w:t xml:space="preserve">Relationship to </w:t>
      </w:r>
      <w:r w:rsidR="009669A6" w:rsidRPr="009669A6">
        <w:rPr>
          <w:b/>
          <w:sz w:val="20"/>
        </w:rPr>
        <w:t xml:space="preserve">ABET </w:t>
      </w:r>
      <w:r w:rsidR="00275482">
        <w:rPr>
          <w:b/>
          <w:sz w:val="20"/>
        </w:rPr>
        <w:t xml:space="preserve">Student Learning </w:t>
      </w:r>
      <w:r w:rsidR="009669A6" w:rsidRPr="009669A6">
        <w:rPr>
          <w:b/>
          <w:sz w:val="20"/>
        </w:rPr>
        <w:t>Outcomes:</w:t>
      </w:r>
    </w:p>
    <w:p w:rsidR="00275482" w:rsidRPr="0070441B" w:rsidRDefault="00D842CF" w:rsidP="0070441B">
      <w:pPr>
        <w:pStyle w:val="ListParagraph"/>
        <w:numPr>
          <w:ilvl w:val="0"/>
          <w:numId w:val="17"/>
        </w:numPr>
        <w:rPr>
          <w:sz w:val="20"/>
        </w:rPr>
      </w:pPr>
      <w:r w:rsidRPr="0070441B">
        <w:rPr>
          <w:sz w:val="20"/>
        </w:rPr>
        <w:t xml:space="preserve">an appropriate mastery of the knowledge, techniques, skills and modern tools of their disciplines, </w:t>
      </w:r>
    </w:p>
    <w:p w:rsidR="0070441B" w:rsidRPr="0070441B" w:rsidRDefault="0070441B" w:rsidP="0070441B">
      <w:pPr>
        <w:ind w:left="720"/>
        <w:rPr>
          <w:sz w:val="20"/>
        </w:rPr>
      </w:pPr>
      <w:r w:rsidRPr="0070441B">
        <w:rPr>
          <w:sz w:val="20"/>
        </w:rPr>
        <w:t xml:space="preserve">(g) </w:t>
      </w:r>
      <w:r w:rsidR="00140091">
        <w:rPr>
          <w:sz w:val="20"/>
        </w:rPr>
        <w:t xml:space="preserve">  </w:t>
      </w:r>
      <w:r w:rsidRPr="0070441B">
        <w:rPr>
          <w:sz w:val="20"/>
        </w:rPr>
        <w:t>an ability to communicate effectively</w:t>
      </w:r>
    </w:p>
    <w:p w:rsidR="0070441B" w:rsidRPr="0070441B" w:rsidRDefault="00D842CF" w:rsidP="00275482">
      <w:pPr>
        <w:ind w:left="720"/>
        <w:rPr>
          <w:sz w:val="20"/>
        </w:rPr>
      </w:pPr>
      <w:r w:rsidRPr="0070441B">
        <w:rPr>
          <w:sz w:val="20"/>
        </w:rPr>
        <w:t xml:space="preserve">(h) </w:t>
      </w:r>
      <w:r w:rsidR="00140091">
        <w:rPr>
          <w:sz w:val="20"/>
        </w:rPr>
        <w:t xml:space="preserve">  </w:t>
      </w:r>
      <w:r w:rsidRPr="0070441B">
        <w:rPr>
          <w:sz w:val="20"/>
        </w:rPr>
        <w:t>a recognition of the need for, and an ability to engage in lifelong learning</w:t>
      </w:r>
    </w:p>
    <w:p w:rsidR="0070441B" w:rsidRPr="0070441B" w:rsidRDefault="0070441B" w:rsidP="00275482">
      <w:pPr>
        <w:ind w:left="720"/>
        <w:rPr>
          <w:sz w:val="20"/>
        </w:rPr>
      </w:pPr>
      <w:r w:rsidRPr="0070441B">
        <w:rPr>
          <w:sz w:val="20"/>
        </w:rPr>
        <w:t>(</w:t>
      </w:r>
      <w:proofErr w:type="spellStart"/>
      <w:r w:rsidRPr="0070441B">
        <w:rPr>
          <w:sz w:val="20"/>
        </w:rPr>
        <w:t>i</w:t>
      </w:r>
      <w:proofErr w:type="spellEnd"/>
      <w:r w:rsidRPr="0070441B">
        <w:rPr>
          <w:sz w:val="20"/>
        </w:rPr>
        <w:t>)</w:t>
      </w:r>
      <w:r w:rsidR="00C55F1E">
        <w:rPr>
          <w:sz w:val="20"/>
        </w:rPr>
        <w:t xml:space="preserve">   </w:t>
      </w:r>
      <w:r w:rsidRPr="0070441B">
        <w:rPr>
          <w:sz w:val="20"/>
        </w:rPr>
        <w:t xml:space="preserve"> an ability to understand professional, ethical and social responsibilities, </w:t>
      </w:r>
    </w:p>
    <w:p w:rsidR="00D842CF" w:rsidRPr="0070441B" w:rsidRDefault="0070441B" w:rsidP="00275482">
      <w:pPr>
        <w:ind w:left="720"/>
        <w:rPr>
          <w:sz w:val="20"/>
        </w:rPr>
      </w:pPr>
      <w:r w:rsidRPr="0070441B">
        <w:rPr>
          <w:sz w:val="20"/>
        </w:rPr>
        <w:t xml:space="preserve">(j) </w:t>
      </w:r>
      <w:r w:rsidR="00C55F1E">
        <w:rPr>
          <w:sz w:val="20"/>
        </w:rPr>
        <w:t xml:space="preserve">   </w:t>
      </w:r>
      <w:r w:rsidRPr="0070441B">
        <w:rPr>
          <w:sz w:val="20"/>
        </w:rPr>
        <w:t>a respect for diversity and a knowledge of contemporary professional, societal and global issues.</w:t>
      </w:r>
    </w:p>
    <w:p w:rsidR="00D842CF" w:rsidRPr="0051603F" w:rsidRDefault="00D842CF" w:rsidP="0051603F">
      <w:pPr>
        <w:pStyle w:val="NoSpacing"/>
        <w:rPr>
          <w:sz w:val="20"/>
        </w:rPr>
      </w:pPr>
    </w:p>
    <w:p w:rsidR="009669A6" w:rsidRPr="006F541A" w:rsidRDefault="00D842CF" w:rsidP="00D842CF">
      <w:pPr>
        <w:pStyle w:val="Header"/>
        <w:tabs>
          <w:tab w:val="clear" w:pos="4320"/>
          <w:tab w:val="clear" w:pos="8640"/>
          <w:tab w:val="left" w:pos="2160"/>
        </w:tabs>
        <w:rPr>
          <w:b/>
          <w:sz w:val="20"/>
        </w:rPr>
      </w:pPr>
      <w:r w:rsidRPr="006F541A">
        <w:rPr>
          <w:b/>
          <w:sz w:val="20"/>
        </w:rPr>
        <w:t xml:space="preserve">Means of assessment and criteria for success: </w:t>
      </w:r>
    </w:p>
    <w:tbl>
      <w:tblPr>
        <w:tblW w:w="7560" w:type="dxa"/>
        <w:tblInd w:w="890" w:type="dxa"/>
        <w:tblCellMar>
          <w:top w:w="15" w:type="dxa"/>
          <w:left w:w="15" w:type="dxa"/>
          <w:bottom w:w="15" w:type="dxa"/>
          <w:right w:w="15" w:type="dxa"/>
        </w:tblCellMar>
        <w:tblLook w:val="04A0" w:firstRow="1" w:lastRow="0" w:firstColumn="1" w:lastColumn="0" w:noHBand="0" w:noVBand="1"/>
      </w:tblPr>
      <w:tblGrid>
        <w:gridCol w:w="2790"/>
        <w:gridCol w:w="1980"/>
        <w:gridCol w:w="2790"/>
      </w:tblGrid>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noWrap/>
            <w:hideMark/>
          </w:tcPr>
          <w:p w:rsidR="006F541A" w:rsidRPr="006F541A" w:rsidRDefault="006F541A" w:rsidP="006F541A">
            <w:pPr>
              <w:spacing w:line="240" w:lineRule="atLeast"/>
              <w:ind w:left="100" w:right="100"/>
              <w:rPr>
                <w:b/>
                <w:sz w:val="22"/>
                <w:szCs w:val="22"/>
              </w:rPr>
            </w:pPr>
            <w:r w:rsidRPr="006F541A">
              <w:rPr>
                <w:b/>
                <w:sz w:val="20"/>
              </w:rPr>
              <w:t xml:space="preserve">Standards: </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b/>
                <w:sz w:val="22"/>
                <w:szCs w:val="22"/>
              </w:rPr>
            </w:pPr>
            <w:r w:rsidRPr="006F541A">
              <w:rPr>
                <w:b/>
                <w:sz w:val="20"/>
              </w:rPr>
              <w:t>Grade Range</w:t>
            </w:r>
          </w:p>
        </w:tc>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b/>
                <w:sz w:val="22"/>
                <w:szCs w:val="22"/>
              </w:rPr>
            </w:pPr>
            <w:r w:rsidRPr="006F541A">
              <w:rPr>
                <w:b/>
                <w:sz w:val="20"/>
              </w:rPr>
              <w:t>Course Targets % of students</w:t>
            </w:r>
          </w:p>
        </w:tc>
      </w:tr>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Exceeds Standards</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100-85 (A to B+)</w:t>
            </w:r>
          </w:p>
        </w:tc>
        <w:tc>
          <w:tcPr>
            <w:tcW w:w="2790" w:type="dxa"/>
            <w:vMerge w:val="restart"/>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Criteria for Success</w:t>
            </w:r>
          </w:p>
          <w:p w:rsidR="006F541A" w:rsidRPr="006F541A" w:rsidRDefault="006F541A" w:rsidP="006F541A">
            <w:pPr>
              <w:spacing w:line="240" w:lineRule="atLeast"/>
              <w:ind w:left="100" w:right="100"/>
              <w:rPr>
                <w:sz w:val="22"/>
                <w:szCs w:val="22"/>
              </w:rPr>
            </w:pPr>
            <w:r w:rsidRPr="006F541A">
              <w:rPr>
                <w:sz w:val="20"/>
              </w:rPr>
              <w:t>70-80%</w:t>
            </w:r>
          </w:p>
        </w:tc>
      </w:tr>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Meets Standards</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84-70 (B to C-)</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541A" w:rsidRPr="006F541A" w:rsidRDefault="006F541A" w:rsidP="006F541A">
            <w:pPr>
              <w:rPr>
                <w:sz w:val="22"/>
                <w:szCs w:val="22"/>
              </w:rPr>
            </w:pPr>
          </w:p>
        </w:tc>
      </w:tr>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Approaches Standards</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69-60 (D+ to D)</w:t>
            </w:r>
          </w:p>
        </w:tc>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5-15%</w:t>
            </w:r>
          </w:p>
        </w:tc>
      </w:tr>
      <w:tr w:rsidR="006F541A" w:rsidRPr="006F541A" w:rsidTr="006F541A">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Does not met the Standards</w:t>
            </w:r>
          </w:p>
        </w:tc>
        <w:tc>
          <w:tcPr>
            <w:tcW w:w="198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&gt;59 (F)</w:t>
            </w:r>
          </w:p>
        </w:tc>
        <w:tc>
          <w:tcPr>
            <w:tcW w:w="2790" w:type="dxa"/>
            <w:tcBorders>
              <w:top w:val="single" w:sz="8" w:space="0" w:color="000000"/>
              <w:left w:val="single" w:sz="8" w:space="0" w:color="000000"/>
              <w:bottom w:val="single" w:sz="8" w:space="0" w:color="000000"/>
              <w:right w:val="single" w:sz="8" w:space="0" w:color="000000"/>
            </w:tcBorders>
            <w:hideMark/>
          </w:tcPr>
          <w:p w:rsidR="006F541A" w:rsidRPr="006F541A" w:rsidRDefault="006F541A" w:rsidP="006F541A">
            <w:pPr>
              <w:spacing w:line="240" w:lineRule="atLeast"/>
              <w:ind w:left="100" w:right="100"/>
              <w:rPr>
                <w:sz w:val="22"/>
                <w:szCs w:val="22"/>
              </w:rPr>
            </w:pPr>
            <w:r w:rsidRPr="006F541A">
              <w:rPr>
                <w:sz w:val="20"/>
              </w:rPr>
              <w:t>5-10%</w:t>
            </w:r>
          </w:p>
        </w:tc>
      </w:tr>
    </w:tbl>
    <w:p w:rsidR="00D842CF" w:rsidRPr="006F541A" w:rsidRDefault="00D842CF" w:rsidP="00D842CF">
      <w:pPr>
        <w:pStyle w:val="Header"/>
        <w:tabs>
          <w:tab w:val="clear" w:pos="4320"/>
          <w:tab w:val="clear" w:pos="8640"/>
          <w:tab w:val="left" w:pos="2160"/>
        </w:tabs>
        <w:rPr>
          <w:sz w:val="20"/>
        </w:rPr>
      </w:pPr>
    </w:p>
    <w:p w:rsidR="009669A6" w:rsidRPr="009669A6" w:rsidRDefault="00D842CF" w:rsidP="00D842CF">
      <w:pPr>
        <w:pStyle w:val="Header"/>
        <w:tabs>
          <w:tab w:val="clear" w:pos="4320"/>
          <w:tab w:val="clear" w:pos="8640"/>
          <w:tab w:val="left" w:pos="2160"/>
        </w:tabs>
        <w:ind w:left="2160" w:hanging="2160"/>
        <w:rPr>
          <w:b/>
          <w:sz w:val="20"/>
        </w:rPr>
      </w:pPr>
      <w:r w:rsidRPr="009669A6">
        <w:rPr>
          <w:b/>
          <w:sz w:val="20"/>
        </w:rPr>
        <w:t>Continuous Improvement:</w:t>
      </w:r>
      <w:r w:rsidRPr="009669A6">
        <w:rPr>
          <w:b/>
          <w:sz w:val="20"/>
        </w:rPr>
        <w:tab/>
      </w:r>
    </w:p>
    <w:p w:rsidR="00713FCF" w:rsidRDefault="004D3193" w:rsidP="00713FCF">
      <w:pPr>
        <w:pStyle w:val="NoSpacing"/>
        <w:rPr>
          <w:sz w:val="20"/>
        </w:rPr>
      </w:pPr>
      <w:r>
        <w:rPr>
          <w:sz w:val="20"/>
        </w:rPr>
        <w:t xml:space="preserve">All writing assignment drafts will be student peer reviewed (using 5 reviewers) with </w:t>
      </w:r>
      <w:r w:rsidRPr="00713FCF">
        <w:rPr>
          <w:sz w:val="20"/>
        </w:rPr>
        <w:t>corrective suggestions and recommendations for improvement</w:t>
      </w:r>
      <w:r>
        <w:rPr>
          <w:sz w:val="20"/>
        </w:rPr>
        <w:t xml:space="preserve"> for final essay.  The instructor will outline the review criteria for the student peer reviewers.  </w:t>
      </w:r>
      <w:r w:rsidR="00713FCF" w:rsidRPr="00713FCF">
        <w:rPr>
          <w:sz w:val="20"/>
        </w:rPr>
        <w:t xml:space="preserve">Review </w:t>
      </w:r>
      <w:r>
        <w:rPr>
          <w:sz w:val="20"/>
        </w:rPr>
        <w:t xml:space="preserve">of final </w:t>
      </w:r>
      <w:r w:rsidR="00713FCF" w:rsidRPr="00713FCF">
        <w:rPr>
          <w:sz w:val="20"/>
        </w:rPr>
        <w:t xml:space="preserve">student essays </w:t>
      </w:r>
      <w:r>
        <w:rPr>
          <w:sz w:val="20"/>
        </w:rPr>
        <w:t xml:space="preserve">is by the instructor </w:t>
      </w:r>
      <w:r w:rsidR="00713FCF" w:rsidRPr="00713FCF">
        <w:rPr>
          <w:sz w:val="20"/>
        </w:rPr>
        <w:t>noting corrective suggestions and recommendations for improvement</w:t>
      </w:r>
      <w:r>
        <w:rPr>
          <w:sz w:val="20"/>
        </w:rPr>
        <w:t xml:space="preserve"> for subsequent essays.  This is a continuous improvement writing process.  </w:t>
      </w:r>
    </w:p>
    <w:p w:rsidR="004D3193" w:rsidRPr="00713FCF" w:rsidRDefault="004D3193" w:rsidP="00713FCF">
      <w:pPr>
        <w:pStyle w:val="NoSpacing"/>
        <w:rPr>
          <w:color w:val="A94442"/>
          <w:sz w:val="20"/>
          <w:lang w:val="en"/>
        </w:rPr>
      </w:pPr>
    </w:p>
    <w:p w:rsidR="009669A6" w:rsidRPr="009669A6" w:rsidRDefault="00D74CD0" w:rsidP="00BD291A">
      <w:pPr>
        <w:pStyle w:val="NoSpacing"/>
        <w:ind w:left="2160" w:hanging="2160"/>
        <w:rPr>
          <w:b/>
          <w:sz w:val="20"/>
        </w:rPr>
      </w:pPr>
      <w:r w:rsidRPr="009669A6">
        <w:rPr>
          <w:b/>
          <w:sz w:val="20"/>
        </w:rPr>
        <w:t>Attendance Policy</w:t>
      </w:r>
      <w:r w:rsidR="009669A6" w:rsidRPr="009669A6">
        <w:rPr>
          <w:b/>
          <w:sz w:val="20"/>
        </w:rPr>
        <w:t>:</w:t>
      </w:r>
    </w:p>
    <w:p w:rsidR="00870004" w:rsidRDefault="00D74CD0" w:rsidP="009669A6">
      <w:pPr>
        <w:pStyle w:val="NoSpacing"/>
        <w:rPr>
          <w:color w:val="333333"/>
          <w:sz w:val="20"/>
        </w:rPr>
      </w:pPr>
      <w:r w:rsidRPr="009669A6">
        <w:rPr>
          <w:color w:val="333333"/>
          <w:sz w:val="20"/>
        </w:rPr>
        <w:t xml:space="preserve">Students are </w:t>
      </w:r>
      <w:r w:rsidR="006066EC">
        <w:rPr>
          <w:color w:val="333333"/>
          <w:sz w:val="20"/>
        </w:rPr>
        <w:t>required to</w:t>
      </w:r>
      <w:r w:rsidRPr="009669A6">
        <w:rPr>
          <w:color w:val="333333"/>
          <w:sz w:val="20"/>
        </w:rPr>
        <w:t xml:space="preserve"> </w:t>
      </w:r>
      <w:r w:rsidR="006066EC">
        <w:rPr>
          <w:color w:val="333333"/>
          <w:sz w:val="20"/>
        </w:rPr>
        <w:t xml:space="preserve">be prepared for each class and bring with them </w:t>
      </w:r>
      <w:r w:rsidRPr="009669A6">
        <w:rPr>
          <w:color w:val="333333"/>
          <w:sz w:val="20"/>
        </w:rPr>
        <w:t xml:space="preserve">the </w:t>
      </w:r>
      <w:r w:rsidR="006066EC">
        <w:rPr>
          <w:color w:val="333333"/>
          <w:sz w:val="20"/>
        </w:rPr>
        <w:t xml:space="preserve">articles from the </w:t>
      </w:r>
      <w:r w:rsidRPr="009669A6">
        <w:rPr>
          <w:color w:val="333333"/>
          <w:sz w:val="20"/>
        </w:rPr>
        <w:t xml:space="preserve">text </w:t>
      </w:r>
      <w:r w:rsidR="006066EC">
        <w:rPr>
          <w:color w:val="333333"/>
          <w:sz w:val="20"/>
        </w:rPr>
        <w:t xml:space="preserve">(printed out) and journal assignments.   They are also required to participate in the peer review and bring 5 or more copies of their draft papers </w:t>
      </w:r>
      <w:r w:rsidR="00F65BBE">
        <w:rPr>
          <w:color w:val="333333"/>
          <w:sz w:val="20"/>
        </w:rPr>
        <w:t xml:space="preserve">(based on group size) </w:t>
      </w:r>
      <w:bookmarkStart w:id="0" w:name="_GoBack"/>
      <w:bookmarkEnd w:id="0"/>
      <w:r w:rsidR="006066EC">
        <w:rPr>
          <w:color w:val="333333"/>
          <w:sz w:val="20"/>
        </w:rPr>
        <w:t>when that activity is assigned.  Students are also required to submit assignments on time due to the holistic review and grading of papers by the instructor.  Failure to do so will result in zeros on the assignment and class participation.</w:t>
      </w:r>
    </w:p>
    <w:p w:rsidR="006066EC" w:rsidRPr="009669A6" w:rsidRDefault="006066EC" w:rsidP="009669A6">
      <w:pPr>
        <w:pStyle w:val="NoSpacing"/>
        <w:rPr>
          <w:sz w:val="20"/>
        </w:rPr>
      </w:pPr>
    </w:p>
    <w:p w:rsidR="00BD291A" w:rsidRDefault="00BD291A" w:rsidP="00BD291A">
      <w:pPr>
        <w:rPr>
          <w:sz w:val="20"/>
        </w:rPr>
      </w:pPr>
      <w:r w:rsidRPr="009669A6">
        <w:rPr>
          <w:b/>
          <w:sz w:val="20"/>
        </w:rPr>
        <w:t>Religious Absences:</w:t>
      </w:r>
      <w:r w:rsidRPr="009669A6">
        <w:rPr>
          <w:b/>
          <w:sz w:val="20"/>
        </w:rPr>
        <w:br/>
      </w:r>
      <w:r w:rsidRPr="009669A6">
        <w:rPr>
          <w:sz w:val="20"/>
        </w:rPr>
        <w:t>If you are unable to attend class on certain days due to religious beliefs, please consult with your instructor well in advance of the absence so that appropriate accommodation can be made.</w:t>
      </w:r>
    </w:p>
    <w:p w:rsidR="00870004" w:rsidRPr="009669A6" w:rsidRDefault="00870004" w:rsidP="00BD291A">
      <w:pPr>
        <w:rPr>
          <w:b/>
          <w:sz w:val="20"/>
        </w:rPr>
      </w:pPr>
    </w:p>
    <w:p w:rsidR="00BD291A" w:rsidRDefault="00BD291A" w:rsidP="00BD291A">
      <w:pPr>
        <w:rPr>
          <w:sz w:val="20"/>
        </w:rPr>
      </w:pPr>
      <w:r w:rsidRPr="009669A6">
        <w:rPr>
          <w:b/>
          <w:sz w:val="20"/>
        </w:rPr>
        <w:t xml:space="preserve">Use of Email: </w:t>
      </w:r>
      <w:r w:rsidRPr="009669A6">
        <w:rPr>
          <w:b/>
          <w:sz w:val="20"/>
        </w:rPr>
        <w:br/>
      </w:r>
      <w:r w:rsidRPr="009669A6">
        <w:rPr>
          <w:sz w:val="20"/>
        </w:rPr>
        <w:t>It is College policy that instructors and students use the Farmingdale email system or the Blackboard email system to contact one another.</w:t>
      </w:r>
    </w:p>
    <w:p w:rsidR="00870004" w:rsidRPr="009669A6" w:rsidRDefault="00870004" w:rsidP="00BD291A">
      <w:pPr>
        <w:rPr>
          <w:b/>
          <w:sz w:val="20"/>
        </w:rPr>
      </w:pPr>
    </w:p>
    <w:p w:rsidR="00BD291A" w:rsidRDefault="00BD291A" w:rsidP="00BD291A">
      <w:pPr>
        <w:pStyle w:val="NormalWeb"/>
        <w:spacing w:before="0" w:beforeAutospacing="0" w:after="0"/>
        <w:rPr>
          <w:color w:val="000000"/>
          <w:sz w:val="20"/>
          <w:szCs w:val="20"/>
        </w:rPr>
      </w:pPr>
      <w:r w:rsidRPr="009669A6">
        <w:rPr>
          <w:b/>
          <w:sz w:val="20"/>
          <w:szCs w:val="20"/>
        </w:rPr>
        <w:t xml:space="preserve">Copyright Statement: </w:t>
      </w:r>
      <w:r w:rsidRPr="009669A6">
        <w:rPr>
          <w:b/>
          <w:sz w:val="20"/>
          <w:szCs w:val="20"/>
        </w:rPr>
        <w:br/>
      </w:r>
      <w:r w:rsidRPr="009669A6">
        <w:rPr>
          <w:color w:val="000000"/>
          <w:sz w:val="20"/>
          <w:szCs w:val="20"/>
        </w:rPr>
        <w:t xml:space="preserve">Course material accessed from Blackboard or the Farmingdale website is for the exclusive use of students who are currently enrolled in the course. Content from these systems cannot be reused or distributed without written </w:t>
      </w:r>
      <w:r w:rsidRPr="009669A6">
        <w:rPr>
          <w:color w:val="000000"/>
          <w:sz w:val="20"/>
          <w:szCs w:val="20"/>
        </w:rPr>
        <w:lastRenderedPageBreak/>
        <w:t>permission of the instructor and/or the copyright holder. Duplication of materials protected by copyright, without permission of the copyright holder, is a violation of the Federal copyright law, as well as a violation of SUNY copyright policy.</w:t>
      </w:r>
    </w:p>
    <w:p w:rsidR="00870004" w:rsidRPr="009669A6" w:rsidRDefault="00870004" w:rsidP="00BD291A">
      <w:pPr>
        <w:pStyle w:val="NormalWeb"/>
        <w:spacing w:before="0" w:beforeAutospacing="0" w:after="0"/>
        <w:rPr>
          <w:color w:val="000000"/>
          <w:sz w:val="20"/>
          <w:szCs w:val="20"/>
        </w:rPr>
      </w:pPr>
    </w:p>
    <w:p w:rsidR="00BD291A" w:rsidRPr="009669A6" w:rsidRDefault="00BD291A" w:rsidP="00BD291A">
      <w:pPr>
        <w:pStyle w:val="NormalWeb"/>
        <w:spacing w:before="0" w:beforeAutospacing="0" w:after="0"/>
        <w:rPr>
          <w:color w:val="000000"/>
          <w:sz w:val="20"/>
          <w:szCs w:val="20"/>
        </w:rPr>
      </w:pPr>
      <w:r w:rsidRPr="009669A6">
        <w:rPr>
          <w:b/>
          <w:bCs/>
          <w:color w:val="333333"/>
          <w:sz w:val="20"/>
          <w:szCs w:val="20"/>
        </w:rPr>
        <w:t xml:space="preserve">Disability Services Center: </w:t>
      </w:r>
    </w:p>
    <w:p w:rsidR="00BD291A" w:rsidRDefault="00BD291A" w:rsidP="00BD291A">
      <w:pPr>
        <w:rPr>
          <w:iCs/>
          <w:sz w:val="20"/>
        </w:rPr>
      </w:pPr>
      <w:r w:rsidRPr="009669A6">
        <w:rPr>
          <w:iCs/>
          <w:sz w:val="20"/>
        </w:rPr>
        <w:t>If you have a disability for which you are or may be requesting an accommodation, you are encouraged to contact both your instructor and the Disability Services Center, Roosevelt Hall, Room 151, or call 631-420-2411, or 420–2607 as soon as possible this semester.</w:t>
      </w:r>
    </w:p>
    <w:p w:rsidR="00870004" w:rsidRPr="009669A6" w:rsidRDefault="00870004" w:rsidP="00BD291A">
      <w:pPr>
        <w:rPr>
          <w:iCs/>
          <w:sz w:val="20"/>
        </w:rPr>
      </w:pPr>
    </w:p>
    <w:p w:rsidR="00BD291A" w:rsidRPr="009669A6" w:rsidRDefault="00BD291A" w:rsidP="00BD291A">
      <w:pPr>
        <w:pStyle w:val="Default"/>
        <w:rPr>
          <w:color w:val="323232"/>
          <w:sz w:val="20"/>
          <w:szCs w:val="20"/>
        </w:rPr>
      </w:pPr>
      <w:r w:rsidRPr="009669A6">
        <w:rPr>
          <w:b/>
          <w:bCs/>
          <w:color w:val="323232"/>
          <w:sz w:val="20"/>
          <w:szCs w:val="20"/>
        </w:rPr>
        <w:t xml:space="preserve">Academic Integrity Policy </w:t>
      </w:r>
    </w:p>
    <w:p w:rsidR="00BD291A" w:rsidRPr="009669A6" w:rsidRDefault="00BD291A" w:rsidP="00BD291A">
      <w:pPr>
        <w:pStyle w:val="Default"/>
        <w:rPr>
          <w:color w:val="323232"/>
          <w:sz w:val="20"/>
          <w:szCs w:val="20"/>
        </w:rPr>
      </w:pPr>
      <w:r w:rsidRPr="009669A6">
        <w:rPr>
          <w:color w:val="323232"/>
          <w:sz w:val="20"/>
          <w:szCs w:val="20"/>
        </w:rPr>
        <w:t>Because intellectual honesty is a cornerstone of all academic and scholarly work, each member of the Farmingdale State College campus community is expected to maintain academic integrity. Farmingdale State College has developed r</w:t>
      </w:r>
      <w:r w:rsidRPr="009669A6">
        <w:rPr>
          <w:sz w:val="20"/>
          <w:szCs w:val="20"/>
        </w:rPr>
        <w:t xml:space="preserve">egulations concerning academic dishonesty and integrity to protect all students and to maintain an ethical academic environment. </w:t>
      </w:r>
      <w:r w:rsidRPr="009669A6">
        <w:rPr>
          <w:color w:val="323232"/>
          <w:sz w:val="20"/>
          <w:szCs w:val="20"/>
        </w:rPr>
        <w:t xml:space="preserve">For more information, click the updated link for the </w:t>
      </w:r>
      <w:hyperlink r:id="rId5" w:history="1">
        <w:r w:rsidRPr="009669A6">
          <w:rPr>
            <w:rStyle w:val="Hyperlink"/>
            <w:sz w:val="20"/>
            <w:szCs w:val="20"/>
          </w:rPr>
          <w:t>Academic Integrity Policy</w:t>
        </w:r>
      </w:hyperlink>
      <w:r w:rsidRPr="009669A6">
        <w:rPr>
          <w:color w:val="323232"/>
          <w:sz w:val="20"/>
          <w:szCs w:val="20"/>
        </w:rPr>
        <w:t xml:space="preserve">. </w:t>
      </w:r>
    </w:p>
    <w:p w:rsidR="00BD291A" w:rsidRPr="009669A6" w:rsidRDefault="00BD291A" w:rsidP="00BD291A">
      <w:pPr>
        <w:pStyle w:val="Default"/>
        <w:rPr>
          <w:sz w:val="20"/>
          <w:szCs w:val="20"/>
        </w:rPr>
      </w:pPr>
    </w:p>
    <w:p w:rsidR="00BD291A" w:rsidRPr="009669A6" w:rsidRDefault="00BD291A" w:rsidP="00BD291A">
      <w:pPr>
        <w:pStyle w:val="Default"/>
        <w:rPr>
          <w:sz w:val="20"/>
          <w:szCs w:val="20"/>
        </w:rPr>
      </w:pPr>
      <w:r w:rsidRPr="009669A6">
        <w:rPr>
          <w:sz w:val="20"/>
          <w:szCs w:val="20"/>
        </w:rPr>
        <w:t>It is important for you to understand the concept of plagiarism. Plagiarism is intentionally representing the words, images or ideas of another as one’s own in any academic exercise. This includes words, images or ideas in either print or electronic format. </w:t>
      </w:r>
    </w:p>
    <w:p w:rsidR="009669A6" w:rsidRDefault="009669A6" w:rsidP="00BD291A">
      <w:pPr>
        <w:autoSpaceDE w:val="0"/>
        <w:autoSpaceDN w:val="0"/>
        <w:adjustRightInd w:val="0"/>
        <w:rPr>
          <w:b/>
          <w:sz w:val="20"/>
        </w:rPr>
      </w:pPr>
    </w:p>
    <w:p w:rsidR="00BD291A" w:rsidRDefault="00BD291A" w:rsidP="00BD291A">
      <w:pPr>
        <w:autoSpaceDE w:val="0"/>
        <w:autoSpaceDN w:val="0"/>
        <w:adjustRightInd w:val="0"/>
        <w:rPr>
          <w:sz w:val="20"/>
        </w:rPr>
      </w:pPr>
      <w:r w:rsidRPr="009669A6">
        <w:rPr>
          <w:b/>
          <w:sz w:val="20"/>
        </w:rPr>
        <w:t>Student Code of Conduct</w:t>
      </w:r>
      <w:r w:rsidRPr="009669A6">
        <w:rPr>
          <w:b/>
          <w:sz w:val="20"/>
        </w:rPr>
        <w:br/>
      </w:r>
      <w:r w:rsidRPr="009669A6">
        <w:rPr>
          <w:sz w:val="20"/>
        </w:rPr>
        <w:t xml:space="preserve">The President of the College and the Vice President for Student Affairs recognize the rights of designees including University Police, to enforce all regulations, policies, license agreements, laws and codes on campus. If any individual allegedly violates the laws, Student Code of Conduct or campus policies, a President’s designee will institute proceedings against the offender (s). For more information on the student code of conduct, see the Code of Conduct section in the current </w:t>
      </w:r>
      <w:hyperlink r:id="rId6" w:history="1">
        <w:r w:rsidRPr="009669A6">
          <w:rPr>
            <w:rStyle w:val="Hyperlink"/>
            <w:sz w:val="20"/>
          </w:rPr>
          <w:t xml:space="preserve">Student Handbook, </w:t>
        </w:r>
      </w:hyperlink>
      <w:r w:rsidRPr="009669A6">
        <w:rPr>
          <w:sz w:val="20"/>
        </w:rPr>
        <w:t xml:space="preserve">or choose Code of Conduct from the A-Z Links.  </w:t>
      </w:r>
    </w:p>
    <w:p w:rsidR="00870004" w:rsidRPr="009669A6" w:rsidRDefault="00870004" w:rsidP="00BD291A">
      <w:pPr>
        <w:autoSpaceDE w:val="0"/>
        <w:autoSpaceDN w:val="0"/>
        <w:adjustRightInd w:val="0"/>
        <w:rPr>
          <w:sz w:val="20"/>
        </w:rPr>
      </w:pPr>
    </w:p>
    <w:p w:rsidR="00BD291A" w:rsidRPr="009669A6" w:rsidRDefault="00BD291A" w:rsidP="00BD291A">
      <w:pPr>
        <w:autoSpaceDE w:val="0"/>
        <w:autoSpaceDN w:val="0"/>
        <w:adjustRightInd w:val="0"/>
        <w:rPr>
          <w:b/>
          <w:sz w:val="20"/>
        </w:rPr>
      </w:pPr>
      <w:r w:rsidRPr="009669A6">
        <w:rPr>
          <w:b/>
          <w:sz w:val="20"/>
        </w:rPr>
        <w:t>University Police</w:t>
      </w:r>
      <w:r w:rsidRPr="009669A6">
        <w:rPr>
          <w:b/>
          <w:sz w:val="20"/>
        </w:rPr>
        <w:br/>
      </w:r>
      <w:r w:rsidRPr="009669A6">
        <w:rPr>
          <w:sz w:val="20"/>
        </w:rPr>
        <w:t>631-420-2111</w:t>
      </w:r>
    </w:p>
    <w:p w:rsidR="00BD291A" w:rsidRPr="009669A6" w:rsidRDefault="00BD291A" w:rsidP="00BD291A">
      <w:pPr>
        <w:autoSpaceDE w:val="0"/>
        <w:autoSpaceDN w:val="0"/>
        <w:adjustRightInd w:val="0"/>
        <w:rPr>
          <w:sz w:val="20"/>
        </w:rPr>
      </w:pPr>
    </w:p>
    <w:p w:rsidR="00BD291A" w:rsidRPr="00D74CD0" w:rsidRDefault="00BD291A" w:rsidP="00BD291A">
      <w:pPr>
        <w:pStyle w:val="NoSpacing"/>
        <w:ind w:left="2160" w:hanging="2160"/>
        <w:rPr>
          <w:szCs w:val="24"/>
        </w:rPr>
      </w:pPr>
    </w:p>
    <w:sectPr w:rsidR="00BD291A" w:rsidRPr="00D7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abstractNum w:abstractNumId="0" w15:restartNumberingAfterBreak="0">
    <w:nsid w:val="073D5ED0"/>
    <w:multiLevelType w:val="multilevel"/>
    <w:tmpl w:val="1DB4E28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AFC"/>
    <w:multiLevelType w:val="hybridMultilevel"/>
    <w:tmpl w:val="D1A66DF2"/>
    <w:lvl w:ilvl="0" w:tplc="4D623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15CBE"/>
    <w:multiLevelType w:val="hybridMultilevel"/>
    <w:tmpl w:val="58786C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E09ED"/>
    <w:multiLevelType w:val="multilevel"/>
    <w:tmpl w:val="0E122B2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E3732"/>
    <w:multiLevelType w:val="multilevel"/>
    <w:tmpl w:val="69CC56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B215A"/>
    <w:multiLevelType w:val="multilevel"/>
    <w:tmpl w:val="70947B2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62670"/>
    <w:multiLevelType w:val="hybridMultilevel"/>
    <w:tmpl w:val="9690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A04C1"/>
    <w:multiLevelType w:val="hybridMultilevel"/>
    <w:tmpl w:val="940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79E"/>
    <w:multiLevelType w:val="multilevel"/>
    <w:tmpl w:val="6F5CB7C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A264A"/>
    <w:multiLevelType w:val="hybridMultilevel"/>
    <w:tmpl w:val="95DE119C"/>
    <w:lvl w:ilvl="0" w:tplc="51A6B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0F7053"/>
    <w:multiLevelType w:val="hybridMultilevel"/>
    <w:tmpl w:val="F9503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507E10"/>
    <w:multiLevelType w:val="hybridMultilevel"/>
    <w:tmpl w:val="EF70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35998"/>
    <w:multiLevelType w:val="hybridMultilevel"/>
    <w:tmpl w:val="D9B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F3065"/>
    <w:multiLevelType w:val="multilevel"/>
    <w:tmpl w:val="C064568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F40C6"/>
    <w:multiLevelType w:val="multilevel"/>
    <w:tmpl w:val="3DDC99F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D5F1C"/>
    <w:multiLevelType w:val="multilevel"/>
    <w:tmpl w:val="149C1BD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8672D"/>
    <w:multiLevelType w:val="hybridMultilevel"/>
    <w:tmpl w:val="EF4E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6"/>
  </w:num>
  <w:num w:numId="5">
    <w:abstractNumId w:val="11"/>
  </w:num>
  <w:num w:numId="6">
    <w:abstractNumId w:val="10"/>
  </w:num>
  <w:num w:numId="7">
    <w:abstractNumId w:val="9"/>
  </w:num>
  <w:num w:numId="8">
    <w:abstractNumId w:val="4"/>
  </w:num>
  <w:num w:numId="9">
    <w:abstractNumId w:val="12"/>
  </w:num>
  <w:num w:numId="10">
    <w:abstractNumId w:val="5"/>
  </w:num>
  <w:num w:numId="11">
    <w:abstractNumId w:val="15"/>
  </w:num>
  <w:num w:numId="12">
    <w:abstractNumId w:val="14"/>
  </w:num>
  <w:num w:numId="13">
    <w:abstractNumId w:val="13"/>
  </w:num>
  <w:num w:numId="14">
    <w:abstractNumId w:val="0"/>
  </w:num>
  <w:num w:numId="15">
    <w:abstractNumId w:val="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CF"/>
    <w:rsid w:val="000118D1"/>
    <w:rsid w:val="00140091"/>
    <w:rsid w:val="00183F7A"/>
    <w:rsid w:val="002332EE"/>
    <w:rsid w:val="00275482"/>
    <w:rsid w:val="002E0065"/>
    <w:rsid w:val="003546C4"/>
    <w:rsid w:val="00421434"/>
    <w:rsid w:val="004277C1"/>
    <w:rsid w:val="00464E22"/>
    <w:rsid w:val="004D3193"/>
    <w:rsid w:val="0051603F"/>
    <w:rsid w:val="005D1B6C"/>
    <w:rsid w:val="006066EC"/>
    <w:rsid w:val="00630DAA"/>
    <w:rsid w:val="006F541A"/>
    <w:rsid w:val="00700705"/>
    <w:rsid w:val="0070441B"/>
    <w:rsid w:val="00713FCF"/>
    <w:rsid w:val="00781E0A"/>
    <w:rsid w:val="0082482B"/>
    <w:rsid w:val="00870004"/>
    <w:rsid w:val="008A41D9"/>
    <w:rsid w:val="008C7B0C"/>
    <w:rsid w:val="008D611A"/>
    <w:rsid w:val="009669A6"/>
    <w:rsid w:val="009C2F4B"/>
    <w:rsid w:val="009E3D4E"/>
    <w:rsid w:val="00A11569"/>
    <w:rsid w:val="00A427B7"/>
    <w:rsid w:val="00AF0BE8"/>
    <w:rsid w:val="00BD291A"/>
    <w:rsid w:val="00C55F1E"/>
    <w:rsid w:val="00CA6F79"/>
    <w:rsid w:val="00CE478C"/>
    <w:rsid w:val="00D04951"/>
    <w:rsid w:val="00D33D5A"/>
    <w:rsid w:val="00D67B85"/>
    <w:rsid w:val="00D74CD0"/>
    <w:rsid w:val="00D842CF"/>
    <w:rsid w:val="00E142B1"/>
    <w:rsid w:val="00E3532A"/>
    <w:rsid w:val="00EF23FF"/>
    <w:rsid w:val="00F41F79"/>
    <w:rsid w:val="00F65BBE"/>
    <w:rsid w:val="00FD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7098"/>
  <w15:chartTrackingRefBased/>
  <w15:docId w15:val="{6840D784-CD15-40FC-A032-1D4B6F86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2C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42CF"/>
    <w:pPr>
      <w:tabs>
        <w:tab w:val="center" w:pos="4320"/>
        <w:tab w:val="right" w:pos="8640"/>
      </w:tabs>
    </w:pPr>
  </w:style>
  <w:style w:type="character" w:customStyle="1" w:styleId="HeaderChar">
    <w:name w:val="Header Char"/>
    <w:basedOn w:val="DefaultParagraphFont"/>
    <w:link w:val="Header"/>
    <w:semiHidden/>
    <w:rsid w:val="00D842CF"/>
    <w:rPr>
      <w:rFonts w:ascii="Times New Roman" w:eastAsia="Times New Roman" w:hAnsi="Times New Roman" w:cs="Times New Roman"/>
      <w:sz w:val="24"/>
      <w:szCs w:val="20"/>
    </w:rPr>
  </w:style>
  <w:style w:type="paragraph" w:styleId="NoSpacing">
    <w:name w:val="No Spacing"/>
    <w:uiPriority w:val="1"/>
    <w:qFormat/>
    <w:rsid w:val="00D842CF"/>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842CF"/>
    <w:rPr>
      <w:b/>
      <w:bCs/>
      <w:strike w:val="0"/>
      <w:dstrike w:val="0"/>
      <w:color w:val="006456"/>
      <w:u w:val="none"/>
      <w:effect w:val="none"/>
      <w:shd w:val="clear" w:color="auto" w:fill="auto"/>
    </w:rPr>
  </w:style>
  <w:style w:type="paragraph" w:styleId="NormalWeb">
    <w:name w:val="Normal (Web)"/>
    <w:basedOn w:val="Normal"/>
    <w:uiPriority w:val="99"/>
    <w:unhideWhenUsed/>
    <w:rsid w:val="00D842CF"/>
    <w:pPr>
      <w:spacing w:before="100" w:beforeAutospacing="1" w:after="60"/>
    </w:pPr>
    <w:rPr>
      <w:szCs w:val="24"/>
    </w:rPr>
  </w:style>
  <w:style w:type="paragraph" w:styleId="ListParagraph">
    <w:name w:val="List Paragraph"/>
    <w:basedOn w:val="Normal"/>
    <w:uiPriority w:val="34"/>
    <w:qFormat/>
    <w:rsid w:val="00D842CF"/>
    <w:pPr>
      <w:ind w:left="720"/>
      <w:contextualSpacing/>
    </w:pPr>
  </w:style>
  <w:style w:type="character" w:styleId="UnresolvedMention">
    <w:name w:val="Unresolved Mention"/>
    <w:basedOn w:val="DefaultParagraphFont"/>
    <w:uiPriority w:val="99"/>
    <w:semiHidden/>
    <w:unhideWhenUsed/>
    <w:rsid w:val="00D842CF"/>
    <w:rPr>
      <w:color w:val="808080"/>
      <w:shd w:val="clear" w:color="auto" w:fill="E6E6E6"/>
    </w:rPr>
  </w:style>
  <w:style w:type="paragraph" w:customStyle="1" w:styleId="Default">
    <w:name w:val="Default"/>
    <w:rsid w:val="00BD29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0020spacing1">
    <w:name w:val="no_0020spacing1"/>
    <w:basedOn w:val="Normal"/>
    <w:rsid w:val="006F541A"/>
    <w:pPr>
      <w:spacing w:line="240" w:lineRule="atLeast"/>
    </w:pPr>
    <w:rPr>
      <w:rFonts w:ascii="Calibri" w:hAnsi="Calibri"/>
      <w:sz w:val="22"/>
      <w:szCs w:val="22"/>
    </w:rPr>
  </w:style>
  <w:style w:type="character" w:customStyle="1" w:styleId="no0020spacingchar1">
    <w:name w:val="no_0020spacing__char1"/>
    <w:basedOn w:val="DefaultParagraphFont"/>
    <w:rsid w:val="006F541A"/>
    <w:rPr>
      <w:rFonts w:ascii="Calibri" w:hAnsi="Calibri" w:hint="default"/>
      <w:sz w:val="22"/>
      <w:szCs w:val="22"/>
    </w:rPr>
  </w:style>
  <w:style w:type="character" w:styleId="Strong">
    <w:name w:val="Strong"/>
    <w:basedOn w:val="DefaultParagraphFont"/>
    <w:uiPriority w:val="22"/>
    <w:qFormat/>
    <w:rsid w:val="00D67B85"/>
    <w:rPr>
      <w:b/>
      <w:bCs/>
    </w:rPr>
  </w:style>
  <w:style w:type="paragraph" w:styleId="BalloonText">
    <w:name w:val="Balloon Text"/>
    <w:basedOn w:val="Normal"/>
    <w:link w:val="BalloonTextChar"/>
    <w:uiPriority w:val="99"/>
    <w:semiHidden/>
    <w:unhideWhenUsed/>
    <w:rsid w:val="005D1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0905">
      <w:bodyDiv w:val="1"/>
      <w:marLeft w:val="0"/>
      <w:marRight w:val="0"/>
      <w:marTop w:val="0"/>
      <w:marBottom w:val="1050"/>
      <w:divBdr>
        <w:top w:val="none" w:sz="0" w:space="0" w:color="auto"/>
        <w:left w:val="none" w:sz="0" w:space="0" w:color="auto"/>
        <w:bottom w:val="none" w:sz="0" w:space="0" w:color="auto"/>
        <w:right w:val="none" w:sz="0" w:space="0" w:color="auto"/>
      </w:divBdr>
      <w:divsChild>
        <w:div w:id="442724891">
          <w:marLeft w:val="0"/>
          <w:marRight w:val="0"/>
          <w:marTop w:val="0"/>
          <w:marBottom w:val="0"/>
          <w:divBdr>
            <w:top w:val="none" w:sz="0" w:space="0" w:color="auto"/>
            <w:left w:val="none" w:sz="0" w:space="0" w:color="auto"/>
            <w:bottom w:val="none" w:sz="0" w:space="0" w:color="auto"/>
            <w:right w:val="none" w:sz="0" w:space="0" w:color="auto"/>
          </w:divBdr>
          <w:divsChild>
            <w:div w:id="1986081499">
              <w:marLeft w:val="0"/>
              <w:marRight w:val="0"/>
              <w:marTop w:val="0"/>
              <w:marBottom w:val="0"/>
              <w:divBdr>
                <w:top w:val="none" w:sz="0" w:space="0" w:color="auto"/>
                <w:left w:val="none" w:sz="0" w:space="0" w:color="auto"/>
                <w:bottom w:val="none" w:sz="0" w:space="0" w:color="auto"/>
                <w:right w:val="none" w:sz="0" w:space="0" w:color="auto"/>
              </w:divBdr>
              <w:divsChild>
                <w:div w:id="1648197153">
                  <w:marLeft w:val="-150"/>
                  <w:marRight w:val="-150"/>
                  <w:marTop w:val="0"/>
                  <w:marBottom w:val="0"/>
                  <w:divBdr>
                    <w:top w:val="none" w:sz="0" w:space="0" w:color="auto"/>
                    <w:left w:val="none" w:sz="0" w:space="0" w:color="auto"/>
                    <w:bottom w:val="none" w:sz="0" w:space="0" w:color="auto"/>
                    <w:right w:val="none" w:sz="0" w:space="0" w:color="auto"/>
                  </w:divBdr>
                  <w:divsChild>
                    <w:div w:id="1831748181">
                      <w:marLeft w:val="0"/>
                      <w:marRight w:val="0"/>
                      <w:marTop w:val="0"/>
                      <w:marBottom w:val="0"/>
                      <w:divBdr>
                        <w:top w:val="none" w:sz="0" w:space="0" w:color="auto"/>
                        <w:left w:val="none" w:sz="0" w:space="0" w:color="auto"/>
                        <w:bottom w:val="none" w:sz="0" w:space="0" w:color="auto"/>
                        <w:right w:val="none" w:sz="0" w:space="0" w:color="auto"/>
                      </w:divBdr>
                      <w:divsChild>
                        <w:div w:id="2101876010">
                          <w:marLeft w:val="0"/>
                          <w:marRight w:val="0"/>
                          <w:marTop w:val="0"/>
                          <w:marBottom w:val="0"/>
                          <w:divBdr>
                            <w:top w:val="none" w:sz="0" w:space="0" w:color="auto"/>
                            <w:left w:val="none" w:sz="0" w:space="0" w:color="auto"/>
                            <w:bottom w:val="none" w:sz="0" w:space="0" w:color="auto"/>
                            <w:right w:val="none" w:sz="0" w:space="0" w:color="auto"/>
                          </w:divBdr>
                          <w:divsChild>
                            <w:div w:id="1400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02770">
      <w:bodyDiv w:val="1"/>
      <w:marLeft w:val="0"/>
      <w:marRight w:val="0"/>
      <w:marTop w:val="0"/>
      <w:marBottom w:val="1050"/>
      <w:divBdr>
        <w:top w:val="none" w:sz="0" w:space="0" w:color="auto"/>
        <w:left w:val="none" w:sz="0" w:space="0" w:color="auto"/>
        <w:bottom w:val="none" w:sz="0" w:space="0" w:color="auto"/>
        <w:right w:val="none" w:sz="0" w:space="0" w:color="auto"/>
      </w:divBdr>
      <w:divsChild>
        <w:div w:id="68499798">
          <w:marLeft w:val="0"/>
          <w:marRight w:val="0"/>
          <w:marTop w:val="0"/>
          <w:marBottom w:val="0"/>
          <w:divBdr>
            <w:top w:val="none" w:sz="0" w:space="0" w:color="auto"/>
            <w:left w:val="none" w:sz="0" w:space="0" w:color="auto"/>
            <w:bottom w:val="none" w:sz="0" w:space="0" w:color="auto"/>
            <w:right w:val="none" w:sz="0" w:space="0" w:color="auto"/>
          </w:divBdr>
          <w:divsChild>
            <w:div w:id="2122726498">
              <w:marLeft w:val="0"/>
              <w:marRight w:val="0"/>
              <w:marTop w:val="0"/>
              <w:marBottom w:val="0"/>
              <w:divBdr>
                <w:top w:val="none" w:sz="0" w:space="0" w:color="auto"/>
                <w:left w:val="none" w:sz="0" w:space="0" w:color="auto"/>
                <w:bottom w:val="none" w:sz="0" w:space="0" w:color="auto"/>
                <w:right w:val="none" w:sz="0" w:space="0" w:color="auto"/>
              </w:divBdr>
              <w:divsChild>
                <w:div w:id="1122457886">
                  <w:marLeft w:val="-150"/>
                  <w:marRight w:val="-150"/>
                  <w:marTop w:val="0"/>
                  <w:marBottom w:val="0"/>
                  <w:divBdr>
                    <w:top w:val="none" w:sz="0" w:space="0" w:color="auto"/>
                    <w:left w:val="none" w:sz="0" w:space="0" w:color="auto"/>
                    <w:bottom w:val="none" w:sz="0" w:space="0" w:color="auto"/>
                    <w:right w:val="none" w:sz="0" w:space="0" w:color="auto"/>
                  </w:divBdr>
                  <w:divsChild>
                    <w:div w:id="1081292565">
                      <w:marLeft w:val="0"/>
                      <w:marRight w:val="0"/>
                      <w:marTop w:val="0"/>
                      <w:marBottom w:val="0"/>
                      <w:divBdr>
                        <w:top w:val="none" w:sz="0" w:space="0" w:color="auto"/>
                        <w:left w:val="none" w:sz="0" w:space="0" w:color="auto"/>
                        <w:bottom w:val="none" w:sz="0" w:space="0" w:color="auto"/>
                        <w:right w:val="none" w:sz="0" w:space="0" w:color="auto"/>
                      </w:divBdr>
                      <w:divsChild>
                        <w:div w:id="1662847645">
                          <w:marLeft w:val="0"/>
                          <w:marRight w:val="0"/>
                          <w:marTop w:val="0"/>
                          <w:marBottom w:val="0"/>
                          <w:divBdr>
                            <w:top w:val="none" w:sz="0" w:space="0" w:color="auto"/>
                            <w:left w:val="none" w:sz="0" w:space="0" w:color="auto"/>
                            <w:bottom w:val="none" w:sz="0" w:space="0" w:color="auto"/>
                            <w:right w:val="none" w:sz="0" w:space="0" w:color="auto"/>
                          </w:divBdr>
                          <w:divsChild>
                            <w:div w:id="1603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031651">
      <w:bodyDiv w:val="1"/>
      <w:marLeft w:val="0"/>
      <w:marRight w:val="0"/>
      <w:marTop w:val="0"/>
      <w:marBottom w:val="1050"/>
      <w:divBdr>
        <w:top w:val="none" w:sz="0" w:space="0" w:color="auto"/>
        <w:left w:val="none" w:sz="0" w:space="0" w:color="auto"/>
        <w:bottom w:val="none" w:sz="0" w:space="0" w:color="auto"/>
        <w:right w:val="none" w:sz="0" w:space="0" w:color="auto"/>
      </w:divBdr>
      <w:divsChild>
        <w:div w:id="129368736">
          <w:marLeft w:val="0"/>
          <w:marRight w:val="0"/>
          <w:marTop w:val="0"/>
          <w:marBottom w:val="0"/>
          <w:divBdr>
            <w:top w:val="none" w:sz="0" w:space="0" w:color="auto"/>
            <w:left w:val="none" w:sz="0" w:space="0" w:color="auto"/>
            <w:bottom w:val="none" w:sz="0" w:space="0" w:color="auto"/>
            <w:right w:val="none" w:sz="0" w:space="0" w:color="auto"/>
          </w:divBdr>
          <w:divsChild>
            <w:div w:id="603923035">
              <w:marLeft w:val="0"/>
              <w:marRight w:val="0"/>
              <w:marTop w:val="0"/>
              <w:marBottom w:val="0"/>
              <w:divBdr>
                <w:top w:val="none" w:sz="0" w:space="0" w:color="auto"/>
                <w:left w:val="none" w:sz="0" w:space="0" w:color="auto"/>
                <w:bottom w:val="none" w:sz="0" w:space="0" w:color="auto"/>
                <w:right w:val="none" w:sz="0" w:space="0" w:color="auto"/>
              </w:divBdr>
              <w:divsChild>
                <w:div w:id="1510482824">
                  <w:marLeft w:val="-150"/>
                  <w:marRight w:val="-150"/>
                  <w:marTop w:val="0"/>
                  <w:marBottom w:val="0"/>
                  <w:divBdr>
                    <w:top w:val="none" w:sz="0" w:space="0" w:color="auto"/>
                    <w:left w:val="none" w:sz="0" w:space="0" w:color="auto"/>
                    <w:bottom w:val="none" w:sz="0" w:space="0" w:color="auto"/>
                    <w:right w:val="none" w:sz="0" w:space="0" w:color="auto"/>
                  </w:divBdr>
                  <w:divsChild>
                    <w:div w:id="862717484">
                      <w:marLeft w:val="0"/>
                      <w:marRight w:val="0"/>
                      <w:marTop w:val="0"/>
                      <w:marBottom w:val="0"/>
                      <w:divBdr>
                        <w:top w:val="none" w:sz="0" w:space="0" w:color="auto"/>
                        <w:left w:val="none" w:sz="0" w:space="0" w:color="auto"/>
                        <w:bottom w:val="none" w:sz="0" w:space="0" w:color="auto"/>
                        <w:right w:val="none" w:sz="0" w:space="0" w:color="auto"/>
                      </w:divBdr>
                      <w:divsChild>
                        <w:div w:id="1701860002">
                          <w:marLeft w:val="0"/>
                          <w:marRight w:val="0"/>
                          <w:marTop w:val="0"/>
                          <w:marBottom w:val="0"/>
                          <w:divBdr>
                            <w:top w:val="none" w:sz="0" w:space="0" w:color="auto"/>
                            <w:left w:val="none" w:sz="0" w:space="0" w:color="auto"/>
                            <w:bottom w:val="none" w:sz="0" w:space="0" w:color="auto"/>
                            <w:right w:val="none" w:sz="0" w:space="0" w:color="auto"/>
                          </w:divBdr>
                          <w:divsChild>
                            <w:div w:id="1614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868145">
      <w:bodyDiv w:val="1"/>
      <w:marLeft w:val="0"/>
      <w:marRight w:val="0"/>
      <w:marTop w:val="0"/>
      <w:marBottom w:val="1050"/>
      <w:divBdr>
        <w:top w:val="none" w:sz="0" w:space="0" w:color="auto"/>
        <w:left w:val="none" w:sz="0" w:space="0" w:color="auto"/>
        <w:bottom w:val="none" w:sz="0" w:space="0" w:color="auto"/>
        <w:right w:val="none" w:sz="0" w:space="0" w:color="auto"/>
      </w:divBdr>
      <w:divsChild>
        <w:div w:id="472868240">
          <w:marLeft w:val="0"/>
          <w:marRight w:val="0"/>
          <w:marTop w:val="0"/>
          <w:marBottom w:val="0"/>
          <w:divBdr>
            <w:top w:val="none" w:sz="0" w:space="0" w:color="auto"/>
            <w:left w:val="none" w:sz="0" w:space="0" w:color="auto"/>
            <w:bottom w:val="none" w:sz="0" w:space="0" w:color="auto"/>
            <w:right w:val="none" w:sz="0" w:space="0" w:color="auto"/>
          </w:divBdr>
          <w:divsChild>
            <w:div w:id="2136169836">
              <w:marLeft w:val="0"/>
              <w:marRight w:val="0"/>
              <w:marTop w:val="0"/>
              <w:marBottom w:val="0"/>
              <w:divBdr>
                <w:top w:val="none" w:sz="0" w:space="0" w:color="auto"/>
                <w:left w:val="none" w:sz="0" w:space="0" w:color="auto"/>
                <w:bottom w:val="none" w:sz="0" w:space="0" w:color="auto"/>
                <w:right w:val="none" w:sz="0" w:space="0" w:color="auto"/>
              </w:divBdr>
              <w:divsChild>
                <w:div w:id="170872497">
                  <w:marLeft w:val="-150"/>
                  <w:marRight w:val="-150"/>
                  <w:marTop w:val="0"/>
                  <w:marBottom w:val="0"/>
                  <w:divBdr>
                    <w:top w:val="none" w:sz="0" w:space="0" w:color="auto"/>
                    <w:left w:val="none" w:sz="0" w:space="0" w:color="auto"/>
                    <w:bottom w:val="none" w:sz="0" w:space="0" w:color="auto"/>
                    <w:right w:val="none" w:sz="0" w:space="0" w:color="auto"/>
                  </w:divBdr>
                  <w:divsChild>
                    <w:div w:id="1773355009">
                      <w:marLeft w:val="0"/>
                      <w:marRight w:val="0"/>
                      <w:marTop w:val="0"/>
                      <w:marBottom w:val="0"/>
                      <w:divBdr>
                        <w:top w:val="none" w:sz="0" w:space="0" w:color="auto"/>
                        <w:left w:val="none" w:sz="0" w:space="0" w:color="auto"/>
                        <w:bottom w:val="none" w:sz="0" w:space="0" w:color="auto"/>
                        <w:right w:val="none" w:sz="0" w:space="0" w:color="auto"/>
                      </w:divBdr>
                      <w:divsChild>
                        <w:div w:id="1717657883">
                          <w:marLeft w:val="0"/>
                          <w:marRight w:val="0"/>
                          <w:marTop w:val="0"/>
                          <w:marBottom w:val="0"/>
                          <w:divBdr>
                            <w:top w:val="none" w:sz="0" w:space="0" w:color="auto"/>
                            <w:left w:val="none" w:sz="0" w:space="0" w:color="auto"/>
                            <w:bottom w:val="none" w:sz="0" w:space="0" w:color="auto"/>
                            <w:right w:val="none" w:sz="0" w:space="0" w:color="auto"/>
                          </w:divBdr>
                          <w:divsChild>
                            <w:div w:id="20309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6201">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ingdale.edu/campus-life/dean/student-handbook.shtml" TargetMode="External"/><Relationship Id="rId5" Type="http://schemas.openxmlformats.org/officeDocument/2006/relationships/hyperlink" Target="http://www.farmingdale.edu/academics/pdf/acad_integrity_policy_05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Betz</dc:creator>
  <cp:keywords/>
  <dc:description/>
  <cp:lastModifiedBy>Joseph Betz</cp:lastModifiedBy>
  <cp:revision>16</cp:revision>
  <cp:lastPrinted>2018-01-26T14:45:00Z</cp:lastPrinted>
  <dcterms:created xsi:type="dcterms:W3CDTF">2018-01-26T13:56:00Z</dcterms:created>
  <dcterms:modified xsi:type="dcterms:W3CDTF">2018-01-26T15:32:00Z</dcterms:modified>
</cp:coreProperties>
</file>